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C6D0F21" w14:textId="03369E1B" w:rsidR="00A239A5" w:rsidRDefault="00B05640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</w:t>
      </w:r>
      <w:r w:rsidR="007B0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 </w:t>
      </w:r>
      <w:r w:rsidR="00A239A5"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7A1AA0">
        <w:rPr>
          <w:rFonts w:ascii="Times New Roman" w:hAnsi="Times New Roman"/>
          <w:b/>
          <w:sz w:val="24"/>
          <w:szCs w:val="24"/>
        </w:rPr>
        <w:t>1</w:t>
      </w:r>
      <w:r w:rsidR="00AE628C">
        <w:rPr>
          <w:rFonts w:ascii="Times New Roman" w:hAnsi="Times New Roman"/>
          <w:b/>
          <w:sz w:val="24"/>
          <w:szCs w:val="24"/>
        </w:rPr>
        <w:t>/202</w:t>
      </w:r>
      <w:r w:rsidR="007B0B4C">
        <w:rPr>
          <w:rFonts w:ascii="Times New Roman" w:hAnsi="Times New Roman"/>
          <w:b/>
          <w:sz w:val="24"/>
          <w:szCs w:val="24"/>
        </w:rPr>
        <w:t>2</w:t>
      </w: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2237C89B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Bory Dolnośląskie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D0DA6E2" w14:textId="38A11BE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14:paraId="30F728B1" w14:textId="7A3D529F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8-120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Iłowa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CB9E21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</w:t>
      </w:r>
      <w:r w:rsidR="00BC6F13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Bory Dolnośląskie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>Iłowej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A8061C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25, 68-120 Iłowa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0F8D7F5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m.leszczynski@bory.org.pl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2E0FE06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68-120 Iłowa, ul. Żeromskiego 25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1553D6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ul. Żeromskiego 25, 68-120 Iłowa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7B0B4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3305FC22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biuro@bory.org.pl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28D1" w14:textId="77777777" w:rsidR="00324596" w:rsidRDefault="00324596" w:rsidP="007417CA">
      <w:pPr>
        <w:spacing w:after="0" w:line="240" w:lineRule="auto"/>
      </w:pPr>
      <w:r>
        <w:separator/>
      </w:r>
    </w:p>
  </w:endnote>
  <w:endnote w:type="continuationSeparator" w:id="0">
    <w:p w14:paraId="19DD0706" w14:textId="77777777" w:rsidR="00324596" w:rsidRDefault="0032459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8A07" w14:textId="77777777" w:rsidR="00324596" w:rsidRDefault="00324596" w:rsidP="007417CA">
      <w:pPr>
        <w:spacing w:after="0" w:line="240" w:lineRule="auto"/>
      </w:pPr>
      <w:r>
        <w:separator/>
      </w:r>
    </w:p>
  </w:footnote>
  <w:footnote w:type="continuationSeparator" w:id="0">
    <w:p w14:paraId="41C26A40" w14:textId="77777777" w:rsidR="00324596" w:rsidRDefault="00324596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4596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B0B4C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62C9"/>
    <w:rsid w:val="00907948"/>
    <w:rsid w:val="009168D1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2424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Jola Marciniak-Sych</cp:lastModifiedBy>
  <cp:revision>42</cp:revision>
  <cp:lastPrinted>2018-06-05T07:19:00Z</cp:lastPrinted>
  <dcterms:created xsi:type="dcterms:W3CDTF">2018-06-04T06:24:00Z</dcterms:created>
  <dcterms:modified xsi:type="dcterms:W3CDTF">2022-02-17T09:45:00Z</dcterms:modified>
</cp:coreProperties>
</file>