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EA57E7">
      <w:pPr>
        <w:spacing w:after="0" w:line="240" w:lineRule="auto"/>
        <w:jc w:val="center"/>
        <w:rPr>
          <w:rFonts w:ascii="Times New Roman" w:eastAsia="Times New Roman" w:hAnsi="Times New Roman" w:cs="Times New Roman"/>
          <w:b/>
          <w:color w:val="000000"/>
          <w:sz w:val="24"/>
          <w:szCs w:val="24"/>
          <w:lang w:val="pl-PL"/>
        </w:rPr>
      </w:pPr>
      <w:r>
        <w:rPr>
          <w:noProof/>
        </w:rPr>
        <w:drawing>
          <wp:anchor distT="0" distB="0" distL="114935" distR="114935" simplePos="0" relativeHeight="251655168" behindDoc="0" locked="0" layoutInCell="1" allowOverlap="1">
            <wp:simplePos x="0" y="0"/>
            <wp:positionH relativeFrom="column">
              <wp:posOffset>2128520</wp:posOffset>
            </wp:positionH>
            <wp:positionV relativeFrom="paragraph">
              <wp:posOffset>80010</wp:posOffset>
            </wp:positionV>
            <wp:extent cx="1576705" cy="1232535"/>
            <wp:effectExtent l="0" t="0" r="0" b="0"/>
            <wp:wrapNone/>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705" cy="1232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4BD0" w:rsidRDefault="00294B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294BD0">
      <w:pPr>
        <w:spacing w:after="0" w:line="240" w:lineRule="auto"/>
        <w:jc w:val="center"/>
        <w:rPr>
          <w:rFonts w:ascii="Times New Roman" w:eastAsia="Times New Roman" w:hAnsi="Times New Roman" w:cs="Times New Roman"/>
          <w:b/>
          <w:color w:val="000000"/>
          <w:sz w:val="72"/>
          <w:szCs w:val="72"/>
        </w:rPr>
      </w:pPr>
    </w:p>
    <w:p w:rsidR="00294BD0" w:rsidRDefault="00294BD0">
      <w:pPr>
        <w:spacing w:after="0" w:line="240" w:lineRule="auto"/>
        <w:jc w:val="center"/>
        <w:rPr>
          <w:rFonts w:ascii="Times New Roman" w:eastAsia="Times New Roman" w:hAnsi="Times New Roman" w:cs="Times New Roman"/>
          <w:b/>
          <w:color w:val="000000"/>
          <w:sz w:val="72"/>
          <w:szCs w:val="72"/>
        </w:rPr>
      </w:pPr>
    </w:p>
    <w:p w:rsidR="00294BD0" w:rsidRDefault="00294BD0">
      <w:pPr>
        <w:spacing w:after="0"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 xml:space="preserve">Strategia Rozwoju Lokalnego Kierowanego </w:t>
      </w:r>
    </w:p>
    <w:p w:rsidR="00294BD0" w:rsidRDefault="00294BD0">
      <w:pPr>
        <w:spacing w:after="0" w:line="240" w:lineRule="auto"/>
        <w:jc w:val="center"/>
      </w:pPr>
      <w:r>
        <w:rPr>
          <w:rFonts w:ascii="Times New Roman" w:eastAsia="Times New Roman" w:hAnsi="Times New Roman" w:cs="Times New Roman"/>
          <w:b/>
          <w:color w:val="000000"/>
          <w:sz w:val="72"/>
          <w:szCs w:val="72"/>
        </w:rPr>
        <w:t>przez Społeczność</w:t>
      </w:r>
    </w:p>
    <w:p w:rsidR="00294BD0" w:rsidRDefault="00EA57E7">
      <w:pPr>
        <w:spacing w:after="0" w:line="240" w:lineRule="auto"/>
        <w:jc w:val="center"/>
        <w:rPr>
          <w:rFonts w:ascii="Times New Roman" w:eastAsia="Times New Roman" w:hAnsi="Times New Roman" w:cs="Times New Roman"/>
          <w:b/>
          <w:color w:val="000000"/>
          <w:sz w:val="72"/>
          <w:szCs w:val="72"/>
          <w:u w:val="single"/>
        </w:rPr>
      </w:pPr>
      <w:r>
        <w:rPr>
          <w:noProof/>
        </w:rPr>
        <w:drawing>
          <wp:anchor distT="0" distB="0" distL="114935" distR="114935" simplePos="0" relativeHeight="251656192" behindDoc="0" locked="0" layoutInCell="1" allowOverlap="1">
            <wp:simplePos x="0" y="0"/>
            <wp:positionH relativeFrom="column">
              <wp:posOffset>1263015</wp:posOffset>
            </wp:positionH>
            <wp:positionV relativeFrom="paragraph">
              <wp:posOffset>508000</wp:posOffset>
            </wp:positionV>
            <wp:extent cx="3271520" cy="3813175"/>
            <wp:effectExtent l="0" t="0" r="0" b="0"/>
            <wp:wrapNone/>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3813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BD0">
        <w:rPr>
          <w:rFonts w:ascii="Times New Roman" w:eastAsia="Times New Roman" w:hAnsi="Times New Roman" w:cs="Times New Roman"/>
          <w:b/>
          <w:color w:val="000000"/>
          <w:sz w:val="72"/>
          <w:szCs w:val="72"/>
        </w:rPr>
        <w:t xml:space="preserve"> </w:t>
      </w:r>
    </w:p>
    <w:p w:rsidR="00294BD0" w:rsidRDefault="00294B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72"/>
          <w:szCs w:val="72"/>
          <w:u w:val="single"/>
        </w:rPr>
        <w:t xml:space="preserve"> </w:t>
      </w:r>
    </w:p>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294BD0">
      <w:pPr>
        <w:spacing w:after="0" w:line="240" w:lineRule="auto"/>
        <w:jc w:val="center"/>
        <w:rPr>
          <w:rFonts w:ascii="Times New Roman" w:eastAsia="Times New Roman" w:hAnsi="Times New Roman" w:cs="Times New Roman"/>
          <w:b/>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jc w:val="center"/>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Iłowa, </w:t>
      </w:r>
      <w:r w:rsidR="00F600E6">
        <w:rPr>
          <w:rFonts w:ascii="Times New Roman" w:eastAsia="Times New Roman" w:hAnsi="Times New Roman" w:cs="Times New Roman"/>
          <w:b/>
          <w:color w:val="000000"/>
        </w:rPr>
        <w:t>listopad</w:t>
      </w:r>
      <w:r>
        <w:rPr>
          <w:rFonts w:ascii="Times New Roman" w:eastAsia="Times New Roman" w:hAnsi="Times New Roman" w:cs="Times New Roman"/>
          <w:b/>
          <w:color w:val="0D0D0D"/>
        </w:rPr>
        <w:t xml:space="preserve"> 2021r.</w:t>
      </w: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Opracowanie:</w:t>
      </w: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ind w:firstLine="708"/>
        <w:rPr>
          <w:rFonts w:ascii="Times New Roman" w:eastAsia="Times New Roman" w:hAnsi="Times New Roman" w:cs="Times New Roman"/>
          <w:color w:val="000000"/>
        </w:rPr>
      </w:pPr>
    </w:p>
    <w:p w:rsidR="00294BD0" w:rsidRDefault="00EA57E7">
      <w:pPr>
        <w:spacing w:after="0" w:line="240" w:lineRule="auto"/>
        <w:ind w:firstLine="708"/>
      </w:pPr>
      <w:r>
        <w:rPr>
          <w:noProof/>
        </w:rPr>
        <w:drawing>
          <wp:anchor distT="0" distB="0" distL="114935" distR="114935" simplePos="0" relativeHeight="251657216" behindDoc="1" locked="0" layoutInCell="1" allowOverlap="1">
            <wp:simplePos x="0" y="0"/>
            <wp:positionH relativeFrom="column">
              <wp:posOffset>3581400</wp:posOffset>
            </wp:positionH>
            <wp:positionV relativeFrom="paragraph">
              <wp:posOffset>127000</wp:posOffset>
            </wp:positionV>
            <wp:extent cx="664210" cy="518795"/>
            <wp:effectExtent l="0" t="0" r="0" b="0"/>
            <wp:wrapNone/>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1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BD0">
        <w:rPr>
          <w:rFonts w:ascii="Times New Roman" w:eastAsia="Times New Roman" w:hAnsi="Times New Roman" w:cs="Times New Roman"/>
          <w:color w:val="000000"/>
        </w:rPr>
        <w:t>Stowarzyszenie LGD Bory Dolnośląskie</w:t>
      </w:r>
    </w:p>
    <w:p w:rsidR="00294BD0" w:rsidRDefault="00294BD0">
      <w:pPr>
        <w:spacing w:after="0" w:line="240" w:lineRule="auto"/>
        <w:ind w:firstLine="708"/>
        <w:rPr>
          <w:rFonts w:ascii="Times New Roman" w:eastAsia="Times New Roman" w:hAnsi="Times New Roman" w:cs="Times New Roman"/>
          <w:color w:val="000000"/>
          <w:lang w:val="en-US"/>
        </w:rPr>
      </w:pPr>
      <w:hyperlink r:id="rId10" w:history="1">
        <w:r>
          <w:rPr>
            <w:rStyle w:val="Hipercze"/>
            <w:rFonts w:ascii="Cambria" w:eastAsia="Times New Roman" w:hAnsi="Cambria" w:cs="Cambria"/>
            <w:sz w:val="24"/>
            <w:szCs w:val="24"/>
            <w:lang w:val="en-US"/>
          </w:rPr>
          <w:t>www.Bory.org</w:t>
        </w:r>
      </w:hyperlink>
      <w:r>
        <w:rPr>
          <w:rFonts w:ascii="Times New Roman" w:eastAsia="Times New Roman" w:hAnsi="Times New Roman" w:cs="Times New Roman"/>
          <w:color w:val="000000"/>
          <w:lang w:val="en-US"/>
        </w:rPr>
        <w:t xml:space="preserve">, </w:t>
      </w:r>
    </w:p>
    <w:p w:rsidR="00294BD0" w:rsidRDefault="00294BD0">
      <w:pPr>
        <w:spacing w:after="0" w:line="240" w:lineRule="auto"/>
        <w:ind w:firstLine="7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tel. 68 377 47 17</w:t>
      </w:r>
    </w:p>
    <w:p w:rsidR="00294BD0" w:rsidRDefault="00294BD0">
      <w:pPr>
        <w:spacing w:after="0" w:line="240" w:lineRule="auto"/>
        <w:ind w:firstLine="7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E-mail </w:t>
      </w:r>
      <w:hyperlink r:id="rId11" w:history="1">
        <w:r>
          <w:rPr>
            <w:rStyle w:val="Hipercze"/>
            <w:rFonts w:ascii="Cambria" w:eastAsia="Times New Roman" w:hAnsi="Cambria" w:cs="Cambria"/>
            <w:sz w:val="24"/>
            <w:szCs w:val="24"/>
            <w:lang w:val="en-US"/>
          </w:rPr>
          <w:t>biuro@borydolnoslaskie.org</w:t>
        </w:r>
      </w:hyperlink>
      <w:r>
        <w:rPr>
          <w:rFonts w:ascii="Times New Roman" w:eastAsia="Times New Roman" w:hAnsi="Times New Roman" w:cs="Times New Roman"/>
          <w:color w:val="000000"/>
          <w:lang w:val="en-US"/>
        </w:rPr>
        <w:t xml:space="preserve"> </w:t>
      </w:r>
    </w:p>
    <w:p w:rsidR="00294BD0" w:rsidRDefault="00294BD0">
      <w:pPr>
        <w:spacing w:after="0" w:line="240" w:lineRule="auto"/>
        <w:rPr>
          <w:rFonts w:ascii="Times New Roman" w:eastAsia="Times New Roman" w:hAnsi="Times New Roman" w:cs="Times New Roman"/>
          <w:color w:val="000000"/>
          <w:lang w:val="en-US"/>
        </w:rPr>
      </w:pPr>
    </w:p>
    <w:p w:rsidR="00294BD0" w:rsidRDefault="00294BD0">
      <w:pPr>
        <w:spacing w:after="0" w:line="240" w:lineRule="auto"/>
        <w:rPr>
          <w:rFonts w:ascii="Times New Roman" w:eastAsia="Times New Roman" w:hAnsi="Times New Roman" w:cs="Times New Roman"/>
          <w:b/>
          <w:color w:val="000000"/>
          <w:lang w:val="en-US"/>
        </w:rPr>
      </w:pPr>
    </w:p>
    <w:p w:rsidR="00294BD0" w:rsidRDefault="00294BD0">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Zespół Roboczy:</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Mariusz Leszczyński</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Jolanta Marciniak – Sych</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Urszula Antończyk</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Agnieszka Antosz</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Joanna Gajdzińska</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Ewelina Rzepka</w:t>
      </w:r>
    </w:p>
    <w:p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Jolanta Strojna</w:t>
      </w:r>
    </w:p>
    <w:p w:rsidR="00294BD0" w:rsidRDefault="00294BD0">
      <w:pPr>
        <w:numPr>
          <w:ilvl w:val="0"/>
          <w:numId w:val="58"/>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lang w:val="en-US"/>
        </w:rPr>
        <w:t>Ewa Grzelak</w:t>
      </w: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 roli eksperta:</w:t>
      </w:r>
    </w:p>
    <w:p w:rsidR="00294BD0" w:rsidRDefault="00294BD0">
      <w:pPr>
        <w:spacing w:after="0" w:line="240" w:lineRule="auto"/>
        <w:rPr>
          <w:rFonts w:ascii="Times New Roman" w:eastAsia="Times New Roman" w:hAnsi="Times New Roman" w:cs="Times New Roman"/>
          <w:b/>
          <w:color w:val="000000"/>
        </w:rPr>
      </w:pPr>
    </w:p>
    <w:p w:rsidR="00294BD0" w:rsidRDefault="00294B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b/>
      </w:r>
      <w:r>
        <w:rPr>
          <w:rFonts w:ascii="Times New Roman" w:eastAsia="Times New Roman" w:hAnsi="Times New Roman" w:cs="Times New Roman"/>
          <w:color w:val="000000"/>
        </w:rPr>
        <w:t>Mateusz Magierowski</w:t>
      </w:r>
    </w:p>
    <w:p w:rsidR="00294BD0" w:rsidRDefault="00294BD0">
      <w:pPr>
        <w:spacing w:after="0" w:line="240" w:lineRule="auto"/>
        <w:ind w:firstLine="708"/>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Szanowni Państwo! </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satysfakcją przedstawiamy Państwu Strategię Rozwoju Lokalnego Kierowanego przez Społeczność, </w:t>
      </w:r>
      <w:r>
        <w:rPr>
          <w:rFonts w:ascii="Times New Roman" w:eastAsia="Times New Roman" w:hAnsi="Times New Roman" w:cs="Times New Roman"/>
        </w:rPr>
        <w:t>nazywaną w skrócie LSR,</w:t>
      </w:r>
      <w:r>
        <w:rPr>
          <w:rFonts w:ascii="Times New Roman" w:eastAsia="Times New Roman" w:hAnsi="Times New Roman" w:cs="Times New Roman"/>
          <w:color w:val="000000"/>
        </w:rPr>
        <w:t xml:space="preserve"> przygotowaną w celu realizacji Programu Rozwoju Obszarów Wiejskich w latach 2014 – 2020.</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Niniejszy dokument to rezultat kilkumiesięcznej, intensywnej pracy Zespołu Roboczego oraz liderów Stowarzyszenia Lokalna Grupa Działania Bory Dolnośląskie, przedstawicieli gmin, przedsiębiorców, organizacji pozarządowych oraz zespołu konsultantów.</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Strategia zbudowana jest wokół trzech celów wiodących:</w:t>
      </w:r>
    </w:p>
    <w:p w:rsidR="00294BD0" w:rsidRDefault="00294BD0">
      <w:pPr>
        <w:numPr>
          <w:ilvl w:val="0"/>
          <w:numId w:val="6"/>
        </w:numPr>
        <w:spacing w:after="0" w:line="240" w:lineRule="auto"/>
        <w:ind w:left="714" w:hanging="357"/>
        <w:rPr>
          <w:rFonts w:ascii="Times New Roman" w:eastAsia="Times New Roman" w:hAnsi="Times New Roman" w:cs="Times New Roman"/>
          <w:b/>
        </w:rPr>
      </w:pPr>
      <w:r>
        <w:rPr>
          <w:rFonts w:ascii="Times New Roman" w:eastAsia="Times New Roman" w:hAnsi="Times New Roman" w:cs="Times New Roman"/>
          <w:b/>
        </w:rPr>
        <w:t>Pobudzanie lokalnej przedsiębiorczości:</w:t>
      </w:r>
    </w:p>
    <w:p w:rsidR="00294BD0" w:rsidRDefault="00294BD0">
      <w:pPr>
        <w:numPr>
          <w:ilvl w:val="0"/>
          <w:numId w:val="6"/>
        </w:numPr>
        <w:spacing w:after="0" w:line="240" w:lineRule="auto"/>
        <w:ind w:left="714" w:hanging="357"/>
        <w:rPr>
          <w:rFonts w:ascii="Times New Roman" w:eastAsia="Times New Roman" w:hAnsi="Times New Roman" w:cs="Times New Roman"/>
          <w:b/>
        </w:rPr>
      </w:pPr>
      <w:r>
        <w:rPr>
          <w:rFonts w:ascii="Times New Roman" w:eastAsia="Times New Roman" w:hAnsi="Times New Roman" w:cs="Times New Roman"/>
          <w:b/>
        </w:rPr>
        <w:t>Lepsze wykorzystanie potencjału przyrodniczego i kulturowego w rozwoju regionu</w:t>
      </w:r>
    </w:p>
    <w:p w:rsidR="00294BD0" w:rsidRDefault="00294BD0">
      <w:pPr>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Wzrost kapitału społecznego na obszarze LGD</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Szeroki wachlarz opracowanych działań i zadań będzie realizowało powołane w tym celu Stowarzyszenie LGD Bory Dolnośląskie. </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Zachęcamy Państwa do zaangażowania się w realizację zapisanych w Strategii przedsięwzięć oraz pomysłów. Tylko z udziałem mieszkańców tego obszaru Strategia ma szansę wpłynąć na rozwój naszego regionu. </w:t>
      </w:r>
    </w:p>
    <w:p w:rsidR="00294BD0" w:rsidRDefault="00294BD0">
      <w:pPr>
        <w:spacing w:after="0" w:line="240" w:lineRule="auto"/>
        <w:ind w:firstLine="709"/>
        <w:jc w:val="both"/>
        <w:rPr>
          <w:rFonts w:ascii="Times New Roman" w:eastAsia="Times New Roman" w:hAnsi="Times New Roman" w:cs="Times New Roman"/>
          <w:color w:val="000000"/>
        </w:rPr>
      </w:pPr>
    </w:p>
    <w:p w:rsidR="00294BD0" w:rsidRDefault="00294BD0">
      <w:pPr>
        <w:spacing w:after="0" w:line="240" w:lineRule="auto"/>
        <w:ind w:firstLine="709"/>
        <w:jc w:val="both"/>
        <w:rPr>
          <w:rFonts w:ascii="Times New Roman" w:eastAsia="Times New Roman" w:hAnsi="Times New Roman" w:cs="Times New Roman"/>
          <w:color w:val="000000"/>
        </w:rPr>
      </w:pPr>
    </w:p>
    <w:tbl>
      <w:tblPr>
        <w:tblW w:w="0" w:type="auto"/>
        <w:tblLayout w:type="fixed"/>
        <w:tblLook w:val="0000" w:firstRow="0" w:lastRow="0" w:firstColumn="0" w:lastColumn="0" w:noHBand="0" w:noVBand="0"/>
      </w:tblPr>
      <w:tblGrid>
        <w:gridCol w:w="4606"/>
        <w:gridCol w:w="4606"/>
      </w:tblGrid>
      <w:tr w:rsidR="00294BD0">
        <w:tc>
          <w:tcPr>
            <w:tcW w:w="4606" w:type="dxa"/>
            <w:shd w:val="clear" w:color="auto" w:fill="auto"/>
          </w:tcPr>
          <w:p w:rsidR="00294BD0" w:rsidRDefault="00294BD0">
            <w:pPr>
              <w:spacing w:after="0" w:line="240" w:lineRule="auto"/>
              <w:ind w:firstLine="708"/>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Przewodniczący Rady</w:t>
            </w:r>
          </w:p>
          <w:p w:rsidR="00294BD0" w:rsidRDefault="00294BD0">
            <w:pPr>
              <w:spacing w:after="0" w:line="240" w:lineRule="auto"/>
              <w:ind w:firstLine="708"/>
              <w:jc w:val="center"/>
              <w:rPr>
                <w:rFonts w:ascii="Times New Roman" w:eastAsia="Times New Roman" w:hAnsi="Times New Roman" w:cs="Times New Roman"/>
                <w:color w:val="000000"/>
              </w:rPr>
            </w:pPr>
            <w:r>
              <w:rPr>
                <w:rFonts w:ascii="Times New Roman" w:eastAsia="Times New Roman" w:hAnsi="Times New Roman" w:cs="Times New Roman"/>
                <w:i/>
                <w:color w:val="000000"/>
              </w:rPr>
              <w:t>Stowarzyszenia LGD Bory Dolnośląskie</w:t>
            </w:r>
          </w:p>
          <w:p w:rsidR="00294BD0" w:rsidRDefault="00294BD0">
            <w:pPr>
              <w:spacing w:after="0" w:line="24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94BD0" w:rsidRDefault="00294BD0">
            <w:pPr>
              <w:spacing w:after="0" w:line="240" w:lineRule="auto"/>
              <w:jc w:val="center"/>
              <w:rPr>
                <w:rFonts w:ascii="Times New Roman" w:eastAsia="Times New Roman" w:hAnsi="Times New Roman" w:cs="Times New Roman"/>
                <w:color w:val="000000"/>
              </w:rPr>
            </w:pPr>
          </w:p>
        </w:tc>
        <w:tc>
          <w:tcPr>
            <w:tcW w:w="4606" w:type="dxa"/>
            <w:shd w:val="clear" w:color="auto" w:fill="auto"/>
          </w:tcPr>
          <w:p w:rsidR="00294BD0" w:rsidRDefault="00294BD0">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Prezes Zarządu</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Stowarzyszenia LGD Bory Dolnośląskie</w:t>
            </w:r>
          </w:p>
          <w:p w:rsidR="00294BD0" w:rsidRDefault="00294BD0">
            <w:pPr>
              <w:spacing w:after="0" w:line="240" w:lineRule="auto"/>
              <w:jc w:val="center"/>
              <w:rPr>
                <w:rFonts w:ascii="Times New Roman" w:eastAsia="Times New Roman" w:hAnsi="Times New Roman" w:cs="Times New Roman"/>
                <w:color w:val="000000"/>
              </w:rPr>
            </w:pPr>
          </w:p>
        </w:tc>
      </w:tr>
    </w:tbl>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rPr>
        <w:lastRenderedPageBreak/>
        <w:t>Spis treści</w:t>
      </w:r>
    </w:p>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Rozdział I Charakterystyka LGD</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5</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Nazwa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Zwięzły opis obszaru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Mapa obszaru objętego Strategią</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procesu tworzenia partnerstwa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struktury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11</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składu organu decyzyjnego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w:t>
      </w:r>
    </w:p>
    <w:p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Zwięzła charakterystyka rozwiązań stosowanych w procesie decyzyjnym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14</w:t>
      </w:r>
    </w:p>
    <w:p w:rsidR="00294BD0" w:rsidRDefault="00294BD0">
      <w:pPr>
        <w:numPr>
          <w:ilvl w:val="0"/>
          <w:numId w:val="59"/>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Wskazanie dokumentów regulujących funkcjonowanie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14</w:t>
      </w: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II Partycypacyjny charakter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15</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III Diagnoza - opis obszaru i ludności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19</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Określenie grup szczególnie istotnych z punktu widzenia realizacji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19</w:t>
      </w:r>
    </w:p>
    <w:p w:rsidR="00294BD0" w:rsidRDefault="00294BD0">
      <w:pPr>
        <w:numPr>
          <w:ilvl w:val="1"/>
          <w:numId w:val="1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Kapitał społeczny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rsidR="00294BD0" w:rsidRDefault="00294BD0">
      <w:pPr>
        <w:numPr>
          <w:ilvl w:val="1"/>
          <w:numId w:val="1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Potencjał demograficzny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Charakterystyka gospodarki/przedsiębiorczości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24</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rynku pracy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25</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działalności sektora społecznego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28</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Wskazanie problemów społecznych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29</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Wykazanie wewnętrznej spójności obszaru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dziedzictwa kulturowego/zabytków</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w:t>
      </w:r>
    </w:p>
    <w:p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Charakterystyka obszarów atrakcyjnych turystycznie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32</w:t>
      </w:r>
    </w:p>
    <w:p w:rsidR="00294BD0" w:rsidRDefault="00294BD0">
      <w:pPr>
        <w:numPr>
          <w:ilvl w:val="0"/>
          <w:numId w:val="60"/>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Opis produktów lokalnych, tradycyjnych i regionalnych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36</w:t>
      </w: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IV Analiza SWOT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37</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V Cele i wskaźniki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40</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Specyfikacja i opis celów ogólnych, przypisanych im celów szczegółowych i przedsięwzięć</w:t>
      </w:r>
      <w:r>
        <w:rPr>
          <w:rFonts w:ascii="Times New Roman" w:eastAsia="Times New Roman" w:hAnsi="Times New Roman" w:cs="Times New Roman"/>
          <w:color w:val="000000"/>
        </w:rPr>
        <w:tab/>
      </w:r>
      <w:r>
        <w:rPr>
          <w:rFonts w:ascii="Times New Roman" w:eastAsia="Times New Roman" w:hAnsi="Times New Roman" w:cs="Times New Roman"/>
          <w:color w:val="000000"/>
        </w:rPr>
        <w:tab/>
        <w:t>40</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Wykazanie zgodności celów z celami programu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celów z podziałem na źródła finansowania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przedsięwzięć realizowanych w ramach RLKS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Specyfikacja wskaźników przypisanych do przedsięwzięć, celów szczegółowych i celów ogólnych</w:t>
      </w:r>
      <w:r>
        <w:rPr>
          <w:rFonts w:ascii="Times New Roman" w:eastAsia="Times New Roman" w:hAnsi="Times New Roman" w:cs="Times New Roman"/>
          <w:color w:val="000000"/>
        </w:rPr>
        <w:tab/>
        <w:t>46</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Źródła pozyskania danych do pomiaru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47</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Sposób i częstotliwość dokonywania pomiaru, uaktualniania danych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47</w:t>
      </w:r>
    </w:p>
    <w:p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Stan początkowy wskaźnika oraz wyjaśnienie sposobu jego ustalenia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48</w:t>
      </w:r>
    </w:p>
    <w:p w:rsidR="00294BD0" w:rsidRDefault="00294BD0">
      <w:pPr>
        <w:numPr>
          <w:ilvl w:val="0"/>
          <w:numId w:val="61"/>
        </w:numPr>
        <w:autoSpaceDE w:val="0"/>
        <w:spacing w:after="0" w:line="240" w:lineRule="auto"/>
        <w:rPr>
          <w:rFonts w:ascii="Times New Roman" w:eastAsia="Times New Roman" w:hAnsi="Times New Roman" w:cs="Times New Roman"/>
          <w:b/>
          <w:bCs/>
        </w:rPr>
      </w:pPr>
      <w:r>
        <w:rPr>
          <w:rFonts w:ascii="Times New Roman" w:eastAsia="Times New Roman" w:hAnsi="Times New Roman" w:cs="Times New Roman"/>
          <w:color w:val="000000"/>
        </w:rPr>
        <w:t>Stan docelowy wskaźnika</w:t>
      </w:r>
      <w:r>
        <w:rPr>
          <w:rFonts w:ascii="Cambria" w:eastAsia="Times New Roman" w:hAnsi="Cambria" w:cs="Cambria"/>
          <w:sz w:val="24"/>
          <w:szCs w:val="24"/>
        </w:rPr>
        <w:t xml:space="preserve"> </w:t>
      </w:r>
      <w:r>
        <w:rPr>
          <w:rFonts w:ascii="Times New Roman" w:eastAsia="Times New Roman" w:hAnsi="Times New Roman" w:cs="Times New Roman"/>
          <w:color w:val="000000"/>
        </w:rPr>
        <w:t>oraz wyjaśnienie sposobu jego ustalenia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48</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Rozdział VI Sposób wyboru i oceny operacji oraz sposób ustanawiania kryteriów wyboru</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55</w:t>
      </w:r>
    </w:p>
    <w:p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Ogólna charakterystyka przyjętych rozwiązań formalno-instytucjonalnych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Sposób ustanawiania i zmiany kryteriów wyboru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Wskazanie w jaki sposób w kryteriach wyboru operacji została uwzględniona </w:t>
      </w:r>
    </w:p>
    <w:p w:rsidR="00294BD0" w:rsidRDefault="00294BD0">
      <w:pPr>
        <w:autoSpaceDE w:val="0"/>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innowacyjność oraz przedstawienie jej definicji i zasad oceny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rsidR="00294BD0" w:rsidRDefault="00294BD0">
      <w:pPr>
        <w:numPr>
          <w:ilvl w:val="0"/>
          <w:numId w:val="62"/>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Informacja o realizacji projektów grantowych i/lub operacji własnych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56</w:t>
      </w: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VII Plan działania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56</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VIII Budżet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rsidR="00294BD0" w:rsidRDefault="00294BD0">
      <w:pPr>
        <w:numPr>
          <w:ilvl w:val="0"/>
          <w:numId w:val="63"/>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Ogólna charakterystyka budżetu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rsidR="00294BD0" w:rsidRDefault="00294BD0">
      <w:pPr>
        <w:numPr>
          <w:ilvl w:val="0"/>
          <w:numId w:val="63"/>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Krótki opis powiązania budżetu z celami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IX Plan komunikacji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X Zintegrowanie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59</w:t>
      </w:r>
    </w:p>
    <w:p w:rsidR="00294BD0" w:rsidRDefault="00294BD0">
      <w:pPr>
        <w:numPr>
          <w:ilvl w:val="0"/>
          <w:numId w:val="64"/>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zgodności i komplementarności z innymi dokumentami planistycznymi/strategiami</w:t>
      </w:r>
      <w:r>
        <w:rPr>
          <w:rFonts w:ascii="Times New Roman" w:eastAsia="Times New Roman" w:hAnsi="Times New Roman" w:cs="Times New Roman"/>
          <w:color w:val="000000"/>
        </w:rPr>
        <w:tab/>
      </w:r>
      <w:r>
        <w:rPr>
          <w:rFonts w:ascii="Times New Roman" w:eastAsia="Times New Roman" w:hAnsi="Times New Roman" w:cs="Times New Roman"/>
          <w:color w:val="000000"/>
        </w:rPr>
        <w:tab/>
        <w:t>59</w:t>
      </w:r>
    </w:p>
    <w:p w:rsidR="00294BD0" w:rsidRDefault="00294BD0">
      <w:pPr>
        <w:numPr>
          <w:ilvl w:val="0"/>
          <w:numId w:val="64"/>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Opis sposobu integrowania różnych sektorów, partnerów, zasobów czy branż</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62</w:t>
      </w: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XI Monitoring i ewaluacja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62</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XII Strategiczna ocena oddziaływania na środowisko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63</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 tabel i wykresów</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65</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Załączniki do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66</w:t>
      </w:r>
    </w:p>
    <w:p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Procedura aktualizacji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66</w:t>
      </w:r>
    </w:p>
    <w:p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Procedury dokonywania ewaluacji i monitoringu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67</w:t>
      </w:r>
    </w:p>
    <w:p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Plan działania wskazujący harmonogram osiągania poszczególnych wskaźników produktu</w:t>
      </w:r>
      <w:r>
        <w:rPr>
          <w:rFonts w:ascii="Times New Roman" w:eastAsia="Times New Roman" w:hAnsi="Times New Roman" w:cs="Times New Roman"/>
          <w:color w:val="000000"/>
        </w:rPr>
        <w:tab/>
      </w:r>
      <w:r>
        <w:rPr>
          <w:rFonts w:ascii="Times New Roman" w:eastAsia="Times New Roman" w:hAnsi="Times New Roman" w:cs="Times New Roman"/>
          <w:color w:val="000000"/>
        </w:rPr>
        <w:tab/>
        <w:t>69</w:t>
      </w:r>
    </w:p>
    <w:p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Budżet LSR w podziale na poszczególne fundusze EFSI i zakresy wsparcia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75</w:t>
      </w:r>
    </w:p>
    <w:p w:rsidR="00294BD0" w:rsidRDefault="00294BD0">
      <w:pPr>
        <w:numPr>
          <w:ilvl w:val="0"/>
          <w:numId w:val="65"/>
        </w:num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Plan komunikacji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76</w:t>
      </w:r>
    </w:p>
    <w:p w:rsidR="00294BD0" w:rsidRDefault="00294BD0">
      <w:pPr>
        <w:autoSpaceDE w:val="0"/>
        <w:spacing w:after="0" w:line="240" w:lineRule="auto"/>
        <w:rPr>
          <w:rFonts w:ascii="Times New Roman" w:eastAsia="Times New Roman" w:hAnsi="Times New Roman" w:cs="Times New Roman"/>
          <w:b/>
        </w:rPr>
      </w:pPr>
    </w:p>
    <w:p w:rsidR="00294BD0" w:rsidRDefault="00294BD0">
      <w:pPr>
        <w:autoSpaceDE w:val="0"/>
        <w:spacing w:after="0" w:line="240" w:lineRule="auto"/>
        <w:rPr>
          <w:rFonts w:ascii="Times New Roman" w:eastAsia="Times New Roman" w:hAnsi="Times New Roman" w:cs="Times New Roman"/>
          <w:b/>
        </w:rPr>
      </w:pPr>
    </w:p>
    <w:p w:rsidR="00294BD0" w:rsidRDefault="00294BD0">
      <w:p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color w:val="2E74B5"/>
        </w:rPr>
        <w:t>Rozdział I. Charakterystyka LGD</w:t>
      </w:r>
    </w:p>
    <w:p w:rsidR="00294BD0" w:rsidRDefault="00294BD0">
      <w:pPr>
        <w:spacing w:after="0" w:line="240" w:lineRule="auto"/>
        <w:rPr>
          <w:rFonts w:ascii="Times New Roman" w:eastAsia="Times New Roman" w:hAnsi="Times New Roman" w:cs="Times New Roman"/>
          <w:b/>
        </w:rPr>
      </w:pPr>
    </w:p>
    <w:p w:rsidR="00294BD0" w:rsidRDefault="00294BD0">
      <w:pPr>
        <w:keepNext/>
        <w:numPr>
          <w:ilvl w:val="3"/>
          <w:numId w:val="51"/>
        </w:numPr>
        <w:tabs>
          <w:tab w:val="left" w:pos="426"/>
        </w:tabs>
        <w:spacing w:after="0" w:line="240" w:lineRule="auto"/>
        <w:ind w:hanging="2880"/>
        <w:jc w:val="both"/>
        <w:rPr>
          <w:rFonts w:ascii="Times New Roman" w:eastAsia="Times New Roman" w:hAnsi="Times New Roman" w:cs="Times New Roman"/>
          <w:color w:val="000000"/>
        </w:rPr>
      </w:pPr>
      <w:r>
        <w:rPr>
          <w:rFonts w:ascii="Times New Roman" w:eastAsia="Times New Roman" w:hAnsi="Times New Roman" w:cs="Times New Roman"/>
          <w:b/>
          <w:bCs/>
          <w:color w:val="000000"/>
          <w:kern w:val="1"/>
        </w:rPr>
        <w:t>Nazwa LGD: Stowarzyszenie Lokalna Grupa Działania Bory Dolnośląskie</w:t>
      </w:r>
    </w:p>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Data wpisu do KRS: </w:t>
      </w:r>
      <w:r>
        <w:rPr>
          <w:rFonts w:ascii="Times New Roman" w:eastAsia="Times New Roman" w:hAnsi="Times New Roman" w:cs="Times New Roman"/>
          <w:b/>
          <w:color w:val="000000"/>
        </w:rPr>
        <w:t>15.12.2008r.</w:t>
      </w:r>
    </w:p>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Numer KRS: </w:t>
      </w:r>
      <w:r>
        <w:rPr>
          <w:rFonts w:ascii="Times New Roman" w:eastAsia="Times New Roman" w:hAnsi="Times New Roman" w:cs="Times New Roman"/>
          <w:b/>
          <w:color w:val="000000"/>
        </w:rPr>
        <w:t>0000319771</w:t>
      </w: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keepNext/>
        <w:numPr>
          <w:ilvl w:val="3"/>
          <w:numId w:val="51"/>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bCs/>
          <w:color w:val="000000"/>
          <w:kern w:val="1"/>
        </w:rPr>
        <w:t>Zwięzły opis obszaru</w:t>
      </w: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Stowarzyszenie Lokalna Grupa Działania Bory Dolnośląskie obejmuje swoim zasięgiem obszar 10 gmin. W tym: </w:t>
      </w:r>
    </w:p>
    <w:p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gminy miejsko-wiejskie (Małomice, Iłowa, Pieńsk i Węgliniec);</w:t>
      </w:r>
    </w:p>
    <w:p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gmin wiejskich (Żagań, Żary, Wymiarki, Przewóz, Osiecznica);</w:t>
      </w:r>
    </w:p>
    <w:p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gminę miejską (Gozdnica).</w:t>
      </w:r>
    </w:p>
    <w:p w:rsidR="00294BD0" w:rsidRDefault="00294BD0">
      <w:pPr>
        <w:spacing w:after="0" w:line="240" w:lineRule="auto"/>
        <w:ind w:left="784"/>
        <w:jc w:val="both"/>
        <w:rPr>
          <w:rFonts w:ascii="Times New Roman" w:eastAsia="Times New Roman" w:hAnsi="Times New Roman" w:cs="Times New Roman"/>
        </w:rPr>
      </w:pP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LGD położone jest w zachodniej części Polski na terenie dwóch województw: dolnośląskiego (gminy Osiecznica, Pieńsk, Węgliniec) i lubuskiego (gminy Gozdnica, Iłowa, Małomice, Przewóz, Wymiarki, Żagań i Żary) oraz na terenie czterech powiatów: żagański (gminy Iłowa, Małomice, Wymiarki, Żagań, Gozdnica), żarski (gminy Przewóz i Żary), zgorzelecki (gminy Pieńsk i Węgliniec) i bolesławiecki (gmina Osiecznica). Powierzchnia obszaru, na którym działa Stowarzyszenie Lokalna Grupa Działania wynosi łącznie 1 960 km².</w:t>
      </w:r>
    </w:p>
    <w:p w:rsidR="00294BD0" w:rsidRDefault="00294BD0">
      <w:pPr>
        <w:spacing w:after="0" w:line="240" w:lineRule="auto"/>
        <w:ind w:left="426"/>
        <w:jc w:val="both"/>
        <w:rPr>
          <w:rFonts w:ascii="Times New Roman" w:eastAsia="Times New Roman" w:hAnsi="Times New Roman" w:cs="Times New Roman"/>
        </w:rPr>
      </w:pP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Liczba ludności zamieszkująca obszar funkcjonowania LGD wynosi łącznie 66 208 tysięcy, a jej podział na poszczególne gminy przedstawia się następująco:</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Żary – 12 153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Żagań – 7 209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Przewóz – 3 252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Wymiarki – 2 359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Iłowa – 7 069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Małomice – 5 339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Gozdnica – 3 272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Osiecznica – 7 553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Węgliniec – 8 687 tys.;</w:t>
      </w:r>
    </w:p>
    <w:p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Pieńsk – 9 315 tyś.</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Razem na dzień 31.12.2013r. obszar LGD zamieszkuje 66 208 mieszkańców. Natomiast średnia liczba mieszkańców objętych LSR w latach 2007-2013 wynosiła 66.010 osób. Obecnie obszar zamieszkuje o 198 mieszkańców więcej.</w:t>
      </w:r>
    </w:p>
    <w:p w:rsidR="00294BD0" w:rsidRDefault="00294BD0">
      <w:pPr>
        <w:spacing w:after="0" w:line="240" w:lineRule="auto"/>
        <w:jc w:val="both"/>
        <w:rPr>
          <w:rFonts w:ascii="Times New Roman" w:eastAsia="Times New Roman" w:hAnsi="Times New Roman" w:cs="Times New Roman"/>
        </w:rPr>
      </w:pPr>
    </w:p>
    <w:p w:rsidR="00294BD0" w:rsidRDefault="00294BD0">
      <w:pPr>
        <w:keepNext/>
        <w:numPr>
          <w:ilvl w:val="3"/>
          <w:numId w:val="5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kern w:val="1"/>
        </w:rPr>
        <w:t>Mapa obszaru objętego Strategią</w:t>
      </w:r>
    </w:p>
    <w:p w:rsidR="00294BD0" w:rsidRDefault="00294BD0">
      <w:pPr>
        <w:spacing w:after="0" w:line="240" w:lineRule="auto"/>
        <w:ind w:left="426" w:hanging="426"/>
        <w:jc w:val="both"/>
        <w:rPr>
          <w:rFonts w:ascii="Times New Roman" w:eastAsia="Times New Roman" w:hAnsi="Times New Roman" w:cs="Times New Roman"/>
          <w:sz w:val="24"/>
          <w:szCs w:val="24"/>
        </w:rPr>
      </w:pPr>
    </w:p>
    <w:p w:rsidR="00294BD0" w:rsidRDefault="00EA57E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lang w:val="pl-PL"/>
        </w:rPr>
        <w:drawing>
          <wp:inline distT="0" distB="0" distL="0" distR="0">
            <wp:extent cx="3886200" cy="261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619375"/>
                    </a:xfrm>
                    <a:prstGeom prst="rect">
                      <a:avLst/>
                    </a:prstGeom>
                    <a:solidFill>
                      <a:srgbClr val="FFFFFF"/>
                    </a:solidFill>
                    <a:ln>
                      <a:noFill/>
                    </a:ln>
                  </pic:spPr>
                </pic:pic>
              </a:graphicData>
            </a:graphic>
          </wp:inline>
        </w:drawing>
      </w:r>
    </w:p>
    <w:p w:rsidR="00294BD0" w:rsidRDefault="00294BD0">
      <w:pPr>
        <w:spacing w:after="0" w:line="240" w:lineRule="auto"/>
        <w:ind w:left="284"/>
        <w:jc w:val="both"/>
        <w:rPr>
          <w:rFonts w:ascii="Times New Roman" w:eastAsia="Times New Roman" w:hAnsi="Times New Roman" w:cs="Times New Roman"/>
          <w:b/>
          <w:color w:val="000000"/>
        </w:rPr>
      </w:pP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b/>
          <w:color w:val="000000"/>
        </w:rPr>
        <w:t>Spójność geograficzna</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Bory Dolnośląskie należą do największych w Europie Środkowej zwartych kompleksów leśnych. Ich ogólna powierzchnia wynosi ok. 170 tys. ha. Lasy te znajdują się w granicach dwóch województw (dolnośląskiego i lubuskiego) oraz siedmiu powiatów: bolesławieckiego, legnickiego, lubińskiego, polkowickiego, zgorzeleckiego, żagańskiego i żarskiego. Lokalna Grupa Działania Bory Dolnośląskie obejmuje 10 gmin położonych w zachodniej i środkowej części tego kompleksu leśnego. Trzy gminy (Osiecznica, Pieńsk i Węgliniec) wchodzą w skład woj. Dolnośląskiego, zaś 7 pozostałych gmin (Gozdnica, Iłowa, Małomice, Przewóz, Wymiarki, Żagań i Żary) leży w granicach administracyjnych woj. Lubuskiego. Obszar zachodnich Borów Dolnośląskich leży aż w</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trzech krainach historyczno-geograficznych: w Dolnych Łużycach (Żary i okolice), Dolnym Śląsku (Małomice, Żagań, Wymiarki i Przewóz) oraz w Górnych Łużycach (Osiecznica, Iłowa Węgliniec i Pieńsk). Przed Kongresem Wiedeńskim w 1815 r. tereny dolno i górnołużyckie były częścią składową Saksonii, podczas gdy obszar księstwa żagańskiego (z Żaganiem i Przewozem) był pod panowaniem pruskim (od 1742 r.). W wyniku postanowień Kongresu Wiedeńskiego cały interesujący nas obszar znalazł się w granicach Prus. Władze pruskie włączyły zachodnie obszary Borów do dwóch prowincji – śląskiej oraz brandenburskiej. Do tej ostatniej wcielono jedynie powiat żarski (w ówczesnych granicach, tzn. bez Przewozu). Taki podział administracyjny utrzymał się do 1945 r. Po II wojnie światowej bardzo krótko Żagań i Żary z Przewozem stanowiły część woj. Wrocławskiego. </w:t>
      </w:r>
    </w:p>
    <w:p w:rsidR="00294BD0" w:rsidRDefault="00294BD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Geograficznie Bory Dolnośląskie są częścią makroregionu Niziny Śląsko-Łużyckiej, położoną między czołowomorenowymi Wzniesieniami Żarskimi i Wzgórzami Dalkowskimi od północy a Pogórzem Izerskim i Kaczawskim od południa. Od strony zachodniej sąsiadują z położonymi w Niemczech Borami Mużakowskimi (Muskauer Heide) i Równiną Górnołużycką (Oberlausitzer Teichgebiet), od strony wschodniej z Równiną Szprotawską, Wysoczyzną Lubińską, Równiną Legnicką i Równiną Chojnowską, zaliczonymi również do Niziny Śląsko-Łużyckiej. Bory Dolnośląskie leżą w dorzeczach Nysy Łużyckiej oraz Bobru z Kwisą i Czerną Wielką.  </w:t>
      </w:r>
    </w:p>
    <w:p w:rsidR="00294BD0" w:rsidRDefault="00294BD0">
      <w:pPr>
        <w:spacing w:after="0" w:line="240" w:lineRule="auto"/>
        <w:jc w:val="center"/>
        <w:rPr>
          <w:rFonts w:ascii="Times New Roman" w:eastAsia="Times New Roman" w:hAnsi="Times New Roman" w:cs="Times New Roman"/>
          <w:sz w:val="24"/>
          <w:szCs w:val="24"/>
        </w:rPr>
      </w:pPr>
    </w:p>
    <w:p w:rsidR="00294BD0" w:rsidRDefault="00294BD0">
      <w:pPr>
        <w:keepNext/>
        <w:numPr>
          <w:ilvl w:val="3"/>
          <w:numId w:val="51"/>
        </w:numPr>
        <w:spacing w:after="0" w:line="240" w:lineRule="auto"/>
        <w:ind w:left="426" w:hanging="426"/>
        <w:jc w:val="both"/>
        <w:rPr>
          <w:rFonts w:ascii="Times New Roman" w:hAnsi="Times New Roman" w:cs="Times New Roman"/>
        </w:rPr>
      </w:pPr>
      <w:r>
        <w:rPr>
          <w:rFonts w:ascii="Times New Roman" w:eastAsia="Times New Roman" w:hAnsi="Times New Roman" w:cs="Times New Roman"/>
          <w:b/>
          <w:bCs/>
          <w:color w:val="000000"/>
          <w:kern w:val="1"/>
        </w:rPr>
        <w:t>Opis procesu tworzenia partnerstwa</w:t>
      </w:r>
    </w:p>
    <w:p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t>Pierwsze próby integrowania poszczególnych gmin z terenu Borów Dolnośląskich sięgają roku 2002. Wtedy to Pan Zdzisław Lubas – wójt gminy Wymiarki oraz Pan Andrzej Kutrowski – burmistrz gminy Węgliniec organizowali wspólne spotkania, konferencje, prezentacje mające na celu pokazanie jedności, wspólnych interesów oraz wspólnego dorobku tego regionu.</w:t>
      </w:r>
    </w:p>
    <w:p w:rsidR="00294BD0" w:rsidRDefault="00294BD0" w:rsidP="002948CB">
      <w:pPr>
        <w:spacing w:after="200" w:line="240" w:lineRule="auto"/>
        <w:ind w:left="426"/>
        <w:jc w:val="both"/>
        <w:rPr>
          <w:rFonts w:ascii="Times New Roman" w:hAnsi="Times New Roman" w:cs="Times New Roman"/>
        </w:rPr>
      </w:pPr>
      <w:r>
        <w:rPr>
          <w:rFonts w:ascii="Times New Roman" w:hAnsi="Times New Roman" w:cs="Times New Roman"/>
        </w:rPr>
        <w:t xml:space="preserve">Dopiero wejście Polski do Unii Europejskiej i realne szanse na pozyskanie środków finansowych pozwalających na podjęcie konkretnych działań zaowocowało tym, że Lokalna Grupa Działania mogła zostać formalnie powołana do życia. </w:t>
      </w:r>
    </w:p>
    <w:p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t>Fundacja ustanowiona została Aktem Notarialnym sporządzonym w dniu  20.04.2006 r.  przez notariusza w kancelarii  Notarialnej w Żaganiu , Repertorium A Nr 1897/2006.</w:t>
      </w:r>
    </w:p>
    <w:p w:rsidR="00294BD0" w:rsidRDefault="00294BD0" w:rsidP="002948CB">
      <w:pPr>
        <w:spacing w:after="200" w:line="240" w:lineRule="auto"/>
        <w:ind w:left="426"/>
        <w:jc w:val="both"/>
        <w:rPr>
          <w:rFonts w:ascii="Times New Roman" w:hAnsi="Times New Roman" w:cs="Times New Roman"/>
        </w:rPr>
      </w:pPr>
      <w:r>
        <w:rPr>
          <w:rFonts w:ascii="Times New Roman" w:hAnsi="Times New Roman" w:cs="Times New Roman"/>
        </w:rPr>
        <w:t>Rejestracji w dniu 18.05.2006 r. dokonał Sąd  Rejonowy w Zielonej Górze, Wydział VIII Gospodarczy Krajowego Rejestru Sądowego, w rejestrze fundacji pod numerem 0000257335</w:t>
      </w:r>
    </w:p>
    <w:p w:rsidR="00294BD0" w:rsidRDefault="00294BD0">
      <w:pPr>
        <w:spacing w:after="200" w:line="240" w:lineRule="auto"/>
        <w:ind w:left="1418" w:hanging="993"/>
        <w:jc w:val="both"/>
        <w:rPr>
          <w:rFonts w:ascii="Times New Roman" w:hAnsi="Times New Roman" w:cs="Times New Roman"/>
        </w:rPr>
      </w:pPr>
      <w:r>
        <w:rPr>
          <w:rFonts w:ascii="Times New Roman" w:hAnsi="Times New Roman" w:cs="Times New Roman"/>
        </w:rPr>
        <w:t>Fundatorami Fundacji byli:</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Fundacja Ekologiczna „Zielona Akcja”</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Stowarzyszenie Promocji Kultury Ziemi Pieńskiej</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Stowarzyszenie Muzyków Ludowych w Bożnowie „Złote Łany”</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Towarzystwo Przyjaciół Starego Węglińca</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Centrum Konferencyjno-Wypoczynkowe „Zamek Kliczków”</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Gminna Spółdzielnia Samopomoc Chłopska</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Ryszard Klisowski</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Marzena Świergoń</w:t>
      </w:r>
    </w:p>
    <w:p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Czesław Korniak</w:t>
      </w:r>
    </w:p>
    <w:p w:rsidR="00294BD0" w:rsidRPr="002948CB" w:rsidRDefault="00294BD0" w:rsidP="002948CB">
      <w:pPr>
        <w:numPr>
          <w:ilvl w:val="0"/>
          <w:numId w:val="66"/>
        </w:numPr>
        <w:tabs>
          <w:tab w:val="left" w:pos="426"/>
          <w:tab w:val="left" w:pos="709"/>
        </w:tabs>
        <w:spacing w:after="200" w:line="240" w:lineRule="auto"/>
        <w:ind w:left="709" w:hanging="284"/>
        <w:jc w:val="both"/>
        <w:rPr>
          <w:rFonts w:ascii="Times New Roman" w:hAnsi="Times New Roman" w:cs="Times New Roman"/>
        </w:rPr>
      </w:pPr>
      <w:r>
        <w:rPr>
          <w:rFonts w:ascii="Times New Roman" w:hAnsi="Times New Roman" w:cs="Times New Roman"/>
        </w:rPr>
        <w:t xml:space="preserve"> Lucyna Smoczyńska</w:t>
      </w:r>
    </w:p>
    <w:p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t>Pierwszym Prezesem Zarządu oraz Kierownikiem Biura został Pan Zdzisław Lubas.</w:t>
      </w:r>
    </w:p>
    <w:p w:rsidR="00294BD0" w:rsidRDefault="00294BD0">
      <w:pPr>
        <w:spacing w:after="200" w:line="240" w:lineRule="auto"/>
        <w:ind w:left="426"/>
        <w:jc w:val="both"/>
        <w:rPr>
          <w:rFonts w:ascii="Times New Roman" w:eastAsia="Times New Roman" w:hAnsi="Times New Roman" w:cs="Times New Roman"/>
        </w:rPr>
      </w:pPr>
      <w:r>
        <w:rPr>
          <w:rFonts w:ascii="Times New Roman" w:hAnsi="Times New Roman" w:cs="Times New Roman"/>
        </w:rPr>
        <w:t>Funkcję to rozdzielono. W wyniku przeprowadzonego konkursu z dniem 07.09.2007r. Kierownikiem Biura został Pan Mariusz Leszczyński. Natomiast w drodze uchwały Zarządu Fundacji nr 5/2007 z dnia 01.10.2007r. Prezesem wybrany został Pan Jan Woronik.</w:t>
      </w:r>
    </w:p>
    <w:p w:rsidR="00294BD0" w:rsidRDefault="00294BD0" w:rsidP="002948CB">
      <w:pPr>
        <w:spacing w:after="0" w:line="240" w:lineRule="auto"/>
        <w:ind w:left="426"/>
        <w:jc w:val="both"/>
        <w:rPr>
          <w:rFonts w:ascii="Times New Roman" w:hAnsi="Times New Roman" w:cs="Times New Roman"/>
        </w:rPr>
      </w:pPr>
      <w:r>
        <w:rPr>
          <w:rFonts w:ascii="Times New Roman" w:eastAsia="Times New Roman" w:hAnsi="Times New Roman" w:cs="Times New Roman"/>
        </w:rPr>
        <w:t>Wstępnie teren działania Fundacji obejmował gminy skupione wokół południowo zachodniej części Borów Dolnośląskich tj. Małomice,  Żagań, Żary, Iłowa, Przewóz, Wymiarki, Pieńsk, Węgliniec, Osiecznica.</w:t>
      </w:r>
      <w:r>
        <w:rPr>
          <w:rFonts w:ascii="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W drodze uchwały Rady Fundacji nr 10/2007 z dnia 07.11.2007r. obszar działania rozszerzył się dodatkowo o gminę Gozdnica.</w:t>
      </w:r>
    </w:p>
    <w:p w:rsidR="00294BD0" w:rsidRDefault="00294BD0">
      <w:pPr>
        <w:spacing w:after="200" w:line="240" w:lineRule="auto"/>
        <w:ind w:left="426"/>
        <w:jc w:val="both"/>
        <w:rPr>
          <w:rFonts w:ascii="Times New Roman" w:eastAsia="Times New Roman" w:hAnsi="Times New Roman" w:cs="Times New Roman"/>
          <w:color w:val="000000"/>
        </w:rPr>
      </w:pPr>
      <w:r>
        <w:rPr>
          <w:rFonts w:ascii="Times New Roman" w:hAnsi="Times New Roman" w:cs="Times New Roman"/>
        </w:rPr>
        <w:t>Celem powołania Fundacji była chęć przystąpienia do realizacji projektu zatytułowanego „</w:t>
      </w:r>
      <w:r>
        <w:rPr>
          <w:rFonts w:ascii="Times New Roman" w:hAnsi="Times New Roman" w:cs="Times New Roman"/>
          <w:i/>
        </w:rPr>
        <w:t>Zrównoważony Rozwój Borów Dolnośląskich w aspekcie partnerstwa społecznego</w:t>
      </w:r>
      <w:r>
        <w:rPr>
          <w:rFonts w:ascii="Times New Roman" w:hAnsi="Times New Roman" w:cs="Times New Roman"/>
        </w:rPr>
        <w:t>” współfinansowanego ze środków Sektorowego Programu Operacyjnego „Restrukturyzacja i modernizacja sektora żywnościowego oraz rozwój obszarów wiejskich 2004-2006” w zakresie działania Pilotażowego Programu Leader + - Schemat II.</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Umowa pomiędzy Fundacją Programów Pomocy dla Rolnictwa FAPA – Podmiotem Wdrażającym a Fundacją Bory Dolnośląskie o dofinansowanie projektu podpisana została w dniu 02.04.2007r. Sam projekt realizowany był do 15.05.2008r. W ramach projektu organizowano m.in.: działania promujące obszar LGD, działania informujące o obszarze LGD, działania szkoleniowo-warsztatowe oraz doradcze, w tym analizy, ekspertyzy oraz koncepcje wykorzystania potencjału regionu do jego rozwoju pod kontem turystycznym.</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czasu zarejestrowania Stowarzyszenia w Krajowym Rejestrze Sądowym, oficjalną Partnerską Lokalną Grupą Działania na terenie Borów Dolnośląskich pozostawała Fundacja, która na bardzo zbliżonych zasadach, tj. w oparciu o swoich partnerów (kapitał społeczny), ustalony plan działania (strategię) oraz lokalny potencjał (zasoby przyrodnicze, kulturowe, potencjał gospodarczy, lokalną tożsamość, itp.) przystąpiła do inicjatywy utworzenia Stowarzyszenia LGD Bory Dolnośląskie łącznie z 39 pozostałymi podmiotami z 7 gmin zlokalizowanych w obrębie południowej części województwa lubuskiego i 3 z północnej części województwa dolnośląskiego. </w:t>
      </w:r>
    </w:p>
    <w:p w:rsidR="00294BD0" w:rsidRDefault="00294BD0">
      <w:pPr>
        <w:spacing w:after="0" w:line="240" w:lineRule="auto"/>
        <w:ind w:firstLine="360"/>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Ogromne doświadczenie wyniesione z realizacji projektu oraz wspólne zaufanie i dalsza determinacja zaowocowała tym, ze decyzja o utworzeniu Stowarzyszenia Lokalna Grupa Działania Bory Dolnośląskie stała się faktem.</w:t>
      </w:r>
    </w:p>
    <w:p w:rsidR="00294BD0" w:rsidRDefault="00294BD0">
      <w:pPr>
        <w:spacing w:after="0" w:line="240" w:lineRule="auto"/>
        <w:ind w:left="426" w:firstLine="360"/>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Walne zebranie założycielskie Stowarzyszenia odbyło się w siedzibie Gminnego Centrum Kultury i Sportu w Iłowej dnia 28.08.2008r., uchwalono wówczas statut Stowarzyszenia, wybrano Radę oraz dokonano wyboru członków Zarządu Stowarzyszenia i Komisji Rewizyjnej. Zarówno Rada jak i Zarząd ukonstytuował się jeszcze w tym samym dniu wybierając z pośród siebie władze statutowe Stowarzyszenia. </w:t>
      </w:r>
    </w:p>
    <w:p w:rsidR="00294BD0" w:rsidRDefault="00294BD0">
      <w:pPr>
        <w:spacing w:after="0" w:line="240" w:lineRule="auto"/>
        <w:ind w:left="426"/>
        <w:jc w:val="both"/>
        <w:rPr>
          <w:rFonts w:ascii="Times New Roman" w:eastAsia="Times New Roman" w:hAnsi="Times New Roman" w:cs="Times New Roman"/>
        </w:rPr>
      </w:pPr>
    </w:p>
    <w:p w:rsidR="00294BD0" w:rsidRDefault="00294BD0">
      <w:pPr>
        <w:spacing w:after="0" w:line="240" w:lineRule="auto"/>
        <w:ind w:left="426"/>
        <w:jc w:val="both"/>
        <w:rPr>
          <w:rFonts w:ascii="Times New Roman" w:eastAsia="Times New Roman" w:hAnsi="Times New Roman" w:cs="Times New Roman"/>
          <w:b/>
          <w:color w:val="000000"/>
        </w:rPr>
      </w:pPr>
      <w:r>
        <w:rPr>
          <w:rFonts w:ascii="Times New Roman" w:eastAsia="Times New Roman" w:hAnsi="Times New Roman" w:cs="Times New Roman"/>
        </w:rPr>
        <w:t>Skład Stowarzyszenia przedstawiał się następująco:</w:t>
      </w:r>
    </w:p>
    <w:tbl>
      <w:tblPr>
        <w:tblW w:w="0" w:type="auto"/>
        <w:tblInd w:w="519" w:type="dxa"/>
        <w:tblLayout w:type="fixed"/>
        <w:tblLook w:val="0000" w:firstRow="0" w:lastRow="0" w:firstColumn="0" w:lastColumn="0" w:noHBand="0" w:noVBand="0"/>
      </w:tblPr>
      <w:tblGrid>
        <w:gridCol w:w="2727"/>
        <w:gridCol w:w="4785"/>
        <w:gridCol w:w="2582"/>
      </w:tblGrid>
      <w:tr w:rsidR="00294BD0">
        <w:tc>
          <w:tcPr>
            <w:tcW w:w="2727"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Jednostki Samorządu terytorialnego</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publiczny)</w:t>
            </w:r>
          </w:p>
        </w:tc>
        <w:tc>
          <w:tcPr>
            <w:tcW w:w="4785"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Organizacje pozarządowe</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społeczny)</w:t>
            </w:r>
          </w:p>
        </w:tc>
        <w:tc>
          <w:tcPr>
            <w:tcW w:w="25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Osoby Fizyczne</w:t>
            </w:r>
          </w:p>
          <w:p w:rsidR="00294BD0" w:rsidRDefault="00294BD0">
            <w:pPr>
              <w:spacing w:after="0" w:line="240" w:lineRule="auto"/>
              <w:jc w:val="center"/>
            </w:pPr>
            <w:r>
              <w:rPr>
                <w:rFonts w:ascii="Times New Roman" w:eastAsia="Times New Roman" w:hAnsi="Times New Roman" w:cs="Times New Roman"/>
                <w:b/>
                <w:color w:val="000000"/>
              </w:rPr>
              <w:t>(sektor prywatny i/ lub gospodarczy)</w:t>
            </w:r>
          </w:p>
        </w:tc>
      </w:tr>
      <w:tr w:rsidR="00294BD0">
        <w:tc>
          <w:tcPr>
            <w:tcW w:w="2727" w:type="dxa"/>
            <w:tcBorders>
              <w:top w:val="single" w:sz="4" w:space="0" w:color="000000"/>
              <w:left w:val="single" w:sz="4" w:space="0" w:color="000000"/>
              <w:bottom w:val="single" w:sz="4" w:space="0" w:color="000000"/>
            </w:tcBorders>
            <w:shd w:val="clear" w:color="auto" w:fill="auto"/>
          </w:tcPr>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Iłowa</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Gozdnica</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Przewóz</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Żagań</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Żary</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Małomice</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Osiecznica</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Węgliniec</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Pieńsk</w:t>
            </w:r>
          </w:p>
          <w:p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Miejsko – Gminny Ośrodek Kultury w Węglińcu</w:t>
            </w:r>
          </w:p>
          <w:p w:rsidR="00294BD0" w:rsidRDefault="00294BD0">
            <w:pPr>
              <w:numPr>
                <w:ilvl w:val="0"/>
                <w:numId w:val="67"/>
              </w:numPr>
              <w:spacing w:after="0" w:line="240" w:lineRule="auto"/>
              <w:ind w:left="318" w:hanging="318"/>
              <w:rPr>
                <w:rFonts w:ascii="Times New Roman" w:eastAsia="Times New Roman" w:hAnsi="Times New Roman" w:cs="Times New Roman"/>
              </w:rPr>
            </w:pPr>
            <w:r>
              <w:rPr>
                <w:rFonts w:ascii="Times New Roman" w:eastAsia="Times New Roman" w:hAnsi="Times New Roman" w:cs="Times New Roman"/>
                <w:color w:val="000000"/>
              </w:rPr>
              <w:t xml:space="preserve">Gminny Ośrodek Kultury i Sportu w Osiecznicy </w:t>
            </w:r>
          </w:p>
          <w:p w:rsidR="00294BD0" w:rsidRDefault="00294BD0">
            <w:pPr>
              <w:numPr>
                <w:ilvl w:val="0"/>
                <w:numId w:val="67"/>
              </w:numPr>
              <w:spacing w:after="0" w:line="240" w:lineRule="auto"/>
              <w:ind w:left="318" w:hanging="318"/>
              <w:rPr>
                <w:rFonts w:ascii="Times New Roman" w:eastAsia="Times New Roman" w:hAnsi="Times New Roman" w:cs="Times New Roman"/>
              </w:rPr>
            </w:pPr>
            <w:r>
              <w:rPr>
                <w:rFonts w:ascii="Times New Roman" w:eastAsia="Times New Roman" w:hAnsi="Times New Roman" w:cs="Times New Roman"/>
              </w:rPr>
              <w:t>Gminna Biblioteka Publiczna w Przewozie</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p>
        </w:tc>
        <w:tc>
          <w:tcPr>
            <w:tcW w:w="4785" w:type="dxa"/>
            <w:tcBorders>
              <w:top w:val="single" w:sz="4" w:space="0" w:color="000000"/>
              <w:left w:val="single" w:sz="4" w:space="0" w:color="000000"/>
              <w:bottom w:val="single" w:sz="4" w:space="0" w:color="000000"/>
            </w:tcBorders>
            <w:shd w:val="clear" w:color="auto" w:fill="auto"/>
          </w:tcPr>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Ekologiczna „Zielona</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 xml:space="preserve">Akcja” </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Lubuska Akademia</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Sztuki „ „CHICHY – ART.” </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„Bo tak!” z Łaz</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„Bory</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Dolnośląskie” w Iłowej</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Muzyków</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Ludowych w Bożnowie – „Złote Łany”</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Ochotnicza Straż Pożarna w</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Gozdnicy</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Miejski Klub Sportowy „Budowlani” w Gozdnicy</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Ochotnicza Straż Pożarna w</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Przewozie</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Kulturowo –</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Oświatowe Równać Szanse w</w:t>
            </w:r>
          </w:p>
          <w:p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Wymiarkach</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Towarzystwo Przyjaciół Starego Węglińca</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Promocji Kultury Ziemi Pieńskiej</w:t>
            </w:r>
          </w:p>
          <w:p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Pro Culturea Bono w Wrocławiu</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Mariusz Leszczyński</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Krzysztof Szustka</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Wiesław Sieradzki</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Ewa Grzelak</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Lucyna Smoczyńska</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Krystyna Michałów</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Artur Gradecki</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Jolanta Strojna</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Jolanta Marciniak</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Wincenty Chłostowski</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Magdalena Piasecka</w:t>
            </w:r>
          </w:p>
          <w:p w:rsidR="00294BD0" w:rsidRDefault="00294BD0">
            <w:pPr>
              <w:spacing w:after="0" w:line="240" w:lineRule="auto"/>
              <w:ind w:left="245"/>
              <w:rPr>
                <w:rFonts w:ascii="Times New Roman" w:eastAsia="Times New Roman" w:hAnsi="Times New Roman" w:cs="Times New Roman"/>
                <w:color w:val="000000"/>
              </w:rPr>
            </w:pPr>
            <w:r>
              <w:rPr>
                <w:rFonts w:ascii="Times New Roman" w:eastAsia="Times New Roman" w:hAnsi="Times New Roman" w:cs="Times New Roman"/>
                <w:color w:val="000000"/>
              </w:rPr>
              <w:t>Ludwin</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Anna Lubas</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Agata Adamczyk</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Ewelina Rzepka</w:t>
            </w:r>
          </w:p>
          <w:p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Joanna Malinowska</w:t>
            </w:r>
          </w:p>
          <w:p w:rsidR="00294BD0" w:rsidRDefault="00294BD0">
            <w:pPr>
              <w:spacing w:after="0" w:line="240" w:lineRule="auto"/>
              <w:rPr>
                <w:rFonts w:ascii="Times New Roman" w:eastAsia="Times New Roman" w:hAnsi="Times New Roman" w:cs="Times New Roman"/>
                <w:color w:val="000000"/>
              </w:rPr>
            </w:pPr>
          </w:p>
        </w:tc>
      </w:tr>
    </w:tbl>
    <w:p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rPr>
        <w:t xml:space="preserve"> (Tabela nr 1 – Skład członkowski Stowarzyszenia LGD Bory Dolnośląskie. Źródło – dane własne)</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przyjętym wówczas statutem liczba członków Rady Stowarzyszenia Lokalna Grupa Działania  „Bory Dolnośląskie” była zmienna i ustalana każdorazowo po uzupełnieniu jej składu przez Walne Zebranie Członków, ale nie mniejsza niż 16 i nie większa niż 21 osób. Rada składała się z co najmniej 50% przedstawicieli podmiotów o których mowa w art. 6 ust. 1 lit b i c rozporządzenia Rady (WE) nr 1698/2005 z dnia 20 września 2005 r. w sprawie wsparcia rozwoju obszarów wiejskich przez Europejski Fundusz Rolny na rzecz Rozwoju Obszarów Wiejskich, czyli partnerów gospodarczych i społecznych oraz innych odpowiednich podmiotów reprezentujących społeczeństwo obywatelskie, organizacje pozarządowe, w tym organizacje zajmujące się zagadnieniami z zakresu środowiska naturalnego, oraz podmiotów odpowiedzialnych za promowanie równości mężczyzn i kobiet, działających na obszarze, którego dotyczy lokalna strategia rozwoju (parytet równowagi sektorów), przy czym w składzie Rady nie mogło być mniej niż 40% kobiet i mniej niż 40% mężczyzn (parytet równowagi płci). W skład Rady wchodziły zatem przedstawiciele wszystkich gmin będących Członkami Zwyczajnymi Stowarzyszenia, przy czym takim przedstawicielem mogła być również osoba fizyczna zameldowana na terenie danej gminy lub osoba prawna mająca siedzibę na terenie danej gminy. Członkowie byli odwoływani i powoływani przez Członków Walnego Zebrania. </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Podział obowiązków przedstawiał się następująco:</w:t>
      </w:r>
    </w:p>
    <w:p w:rsidR="00294BD0" w:rsidRDefault="00294BD0">
      <w:pPr>
        <w:autoSpaceDE w:val="0"/>
        <w:spacing w:after="0" w:line="240" w:lineRule="auto"/>
        <w:jc w:val="both"/>
        <w:rPr>
          <w:rFonts w:ascii="Times New Roman" w:eastAsia="Times New Roman" w:hAnsi="Times New Roman" w:cs="Times New Roman"/>
          <w:color w:val="000000"/>
        </w:rPr>
      </w:pPr>
    </w:p>
    <w:tbl>
      <w:tblPr>
        <w:tblW w:w="0" w:type="auto"/>
        <w:tblInd w:w="519" w:type="dxa"/>
        <w:tblLayout w:type="fixed"/>
        <w:tblLook w:val="0000" w:firstRow="0" w:lastRow="0" w:firstColumn="0" w:lastColumn="0" w:noHBand="0" w:noVBand="0"/>
      </w:tblPr>
      <w:tblGrid>
        <w:gridCol w:w="542"/>
        <w:gridCol w:w="3143"/>
        <w:gridCol w:w="1418"/>
        <w:gridCol w:w="2025"/>
        <w:gridCol w:w="2966"/>
      </w:tblGrid>
      <w:tr w:rsidR="00294BD0">
        <w:tc>
          <w:tcPr>
            <w:tcW w:w="542" w:type="dxa"/>
            <w:tcBorders>
              <w:top w:val="single" w:sz="4" w:space="0" w:color="000000"/>
              <w:left w:val="single" w:sz="4" w:space="0" w:color="000000"/>
              <w:bottom w:val="single" w:sz="4" w:space="0" w:color="000000"/>
            </w:tcBorders>
            <w:shd w:val="clear" w:color="auto" w:fill="F2F2F2"/>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Lp.</w:t>
            </w:r>
          </w:p>
        </w:tc>
        <w:tc>
          <w:tcPr>
            <w:tcW w:w="3143" w:type="dxa"/>
            <w:tcBorders>
              <w:top w:val="single" w:sz="4" w:space="0" w:color="000000"/>
              <w:left w:val="single" w:sz="4" w:space="0" w:color="000000"/>
              <w:bottom w:val="single" w:sz="4" w:space="0" w:color="000000"/>
            </w:tcBorders>
            <w:shd w:val="clear" w:color="auto" w:fill="F2F2F2"/>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Członka</w:t>
            </w:r>
          </w:p>
        </w:tc>
        <w:tc>
          <w:tcPr>
            <w:tcW w:w="1418" w:type="dxa"/>
            <w:tcBorders>
              <w:top w:val="single" w:sz="4" w:space="0" w:color="000000"/>
              <w:left w:val="single" w:sz="4" w:space="0" w:color="000000"/>
              <w:bottom w:val="single" w:sz="4" w:space="0" w:color="000000"/>
            </w:tcBorders>
            <w:shd w:val="clear" w:color="auto" w:fill="F2F2F2"/>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(publiczny, społeczny, gospodarczy)</w:t>
            </w:r>
          </w:p>
        </w:tc>
        <w:tc>
          <w:tcPr>
            <w:tcW w:w="2025" w:type="dxa"/>
            <w:tcBorders>
              <w:top w:val="single" w:sz="4" w:space="0" w:color="000000"/>
              <w:left w:val="single" w:sz="4" w:space="0" w:color="000000"/>
              <w:bottom w:val="single" w:sz="4" w:space="0" w:color="000000"/>
            </w:tcBorders>
            <w:shd w:val="clear" w:color="auto" w:fill="F2F2F2"/>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Rodzaj prowadzonej działalności</w:t>
            </w:r>
          </w:p>
        </w:tc>
        <w:tc>
          <w:tcPr>
            <w:tcW w:w="29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autoSpaceDE w:val="0"/>
              <w:spacing w:after="0" w:line="240" w:lineRule="auto"/>
              <w:jc w:val="center"/>
            </w:pPr>
            <w:r>
              <w:rPr>
                <w:rFonts w:ascii="Times New Roman" w:eastAsia="Times New Roman" w:hAnsi="Times New Roman" w:cs="Times New Roman"/>
                <w:b/>
                <w:color w:val="000000"/>
              </w:rPr>
              <w:t>Funkcja w strukturze LGD</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Iłowa – Paweł Lichtański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Gozdnica – Krzystof Jarosz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Przedstawiciel JST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Przewóz – Ryszard Klisowski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Żagań – Agnieszka Antosz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 up. Wójta pracownik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Żary – Leszek Mrożek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Małomice – Małgorzata Sendecka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Osiecznica – Waldemar Nalazek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Węgliniec – Stanisław Mikołajczyk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Pieńsk – Jan Magda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Fundacja Ekologiczna „Zielona Akcja”- Irena Krukowska – Szopa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Lubuska Akademia Sztuki „ „CHICHY – ART.” W Małomicach – Leokadia Brudzińska-Dobrowolska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Stowarzyszenie Muzyków Ludowych w Bożnowie – „Złote Łany – Tadeusz Błach</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Towarzystwo Przyjaciół Starego Węglińca – Henryk Kapeluch</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Ewelina Rzepka</w:t>
            </w:r>
          </w:p>
          <w:p w:rsidR="00294BD0" w:rsidRDefault="00294BD0">
            <w:pPr>
              <w:autoSpaceDE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Joanna Gajdzińska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Krystyna Michałów</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Integer – Zamek Kliczków</w:t>
            </w:r>
            <w:r>
              <w:rPr>
                <w:rFonts w:ascii="Times New Roman" w:eastAsia="Times New Roman" w:hAnsi="Times New Roman" w:cs="Times New Roman"/>
                <w:color w:val="000000"/>
              </w:rPr>
              <w:br/>
              <w:t>Magdalena Piasecka –Ludwin</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firmy Integer – Zamek Kliczków</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Jolanta Strojna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 prowadząca działalność gospodarczą</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Gminna Spółdzielnia „Samopomoc Chłopska” –Roman Lichwiarz</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Gminnej Spółdzielni „Samopomoc Chłopska”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Stowarzyszenie Promocji Ziemi Pieńskiej – Paweł Czapliński</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Pro Culturae Bono w Wrocławiu –Jerzy Ludwin</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„Bory Dolnośląskie” w Iłowej – Jan Woronik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Ochotnicza Straż Pożarna w Przewozie – Mirosława Klisowska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Ewa Grzelak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Mariusz Leszczyński</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Gminna Biblioteka Publiczna w Przewozie – Joanna Jaworska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rPr>
              <w:t>Przewodnicząca Komisji Rewizyjnej</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Miejsko – Gminny Ośrodek Kultury w Węglińcu – Izabela Uśpieńska- Domagała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Komisji Rewizyjnej</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Gminny Ośrodek Kultury i Sportu w Osiecznicy – Monika Kumosz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Komisji Rewizyjnej</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Lucyna Smoczyńska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30</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Stowarzyszenie Kulturowo – Oświatowe Równać Szanse –Marcin Wiśniewski</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Krzysztof Szustka</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32</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Ochotnicza Straż Pożarna w Gozdnicy – Jarosław Bąk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Agata Adamczyk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Anna Lubas</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 prowadząca działalność gospodarczą</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Artur Gradecki</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36</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Wincenty Chłostowski</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Jolanta Marciniak</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Justyna Lichwiarz</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zwyczajny</w:t>
            </w:r>
          </w:p>
        </w:tc>
      </w:tr>
      <w:tr w:rsidR="00294BD0">
        <w:tc>
          <w:tcPr>
            <w:tcW w:w="542"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3143"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Miejski Klub Sportowy „Budowlani” w Gozdnicy  - Marek Goc</w:t>
            </w:r>
          </w:p>
        </w:tc>
        <w:tc>
          <w:tcPr>
            <w:tcW w:w="1418"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Klubu</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autoSpaceDE w:val="0"/>
              <w:spacing w:after="0" w:line="240" w:lineRule="auto"/>
            </w:pPr>
            <w:r>
              <w:rPr>
                <w:rFonts w:ascii="Times New Roman" w:eastAsia="Times New Roman" w:hAnsi="Times New Roman" w:cs="Times New Roman"/>
                <w:color w:val="000000"/>
              </w:rPr>
              <w:t>Członek zwyczajny</w:t>
            </w:r>
          </w:p>
        </w:tc>
      </w:tr>
    </w:tbl>
    <w:p w:rsidR="00294BD0" w:rsidRDefault="00294BD0">
      <w:pPr>
        <w:autoSpaceDE w:val="0"/>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i/>
          <w:color w:val="000000"/>
        </w:rPr>
        <w:t>(Tabela nr 2 – Charakterystyka pełnionych funkcji w Stowarzyszeniu LGD Bory Dolnośląskie na dzień 13.05.2013r. Źródło – dane własne)</w:t>
      </w: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W okresie programowania 2007-2013 Lokalna Strategia Rozwoju zakładała realizację trzech celów głównych:</w:t>
      </w:r>
    </w:p>
    <w:p w:rsidR="00294BD0" w:rsidRDefault="00294BD0">
      <w:pPr>
        <w:numPr>
          <w:ilvl w:val="0"/>
          <w:numId w:val="7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Lepsze wykorzystanie potencjału przyrodniczego i historycznego regionu. </w:t>
      </w:r>
    </w:p>
    <w:p w:rsidR="00294BD0" w:rsidRDefault="00294BD0">
      <w:pPr>
        <w:spacing w:after="0" w:line="240" w:lineRule="auto"/>
        <w:ind w:left="786"/>
        <w:jc w:val="both"/>
        <w:rPr>
          <w:rFonts w:ascii="Times New Roman" w:eastAsia="Times New Roman" w:hAnsi="Times New Roman" w:cs="Times New Roman"/>
          <w:color w:val="000000"/>
        </w:rPr>
      </w:pPr>
      <w:r>
        <w:rPr>
          <w:rFonts w:ascii="Times New Roman" w:eastAsia="Times New Roman" w:hAnsi="Times New Roman" w:cs="Times New Roman"/>
          <w:color w:val="000000"/>
        </w:rPr>
        <w:t>W cel ten wpisywały się kolejne trzy cele szczegółowe takie jak:</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rozwój infrastruktury turystycznej,</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promocja regionu Bory Dolnośląskie,</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ochrona potencjału przyrodniczo-historycznego.</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 Wzrost miejsc pracy na obszarach wiejskich.</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 tego celu przypisano kolejne trzy cele szczegółowe takie jak:</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sieciowanie producentów, usługodawców i wytwórców produktów lokalnych,</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promowanie mikroprzedsiębiorczości i wsparcie firm usługowych,</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różnicowanie w gospodarstwach rolnych.</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Wzrost kapitału społecznego w Borach Dolnośląskich. </w:t>
      </w: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 cel ten składały się również trzy cele szczegółowe:</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integracja grup społecznych i gmin na obszarze Borów Dolnośląskich,</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zwiększenie lokalnej aktywności,</w:t>
      </w:r>
    </w:p>
    <w:p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rozwój współpracy partnerskiej.</w:t>
      </w:r>
    </w:p>
    <w:p w:rsidR="00294BD0" w:rsidRDefault="00294BD0">
      <w:pPr>
        <w:spacing w:after="0" w:line="240" w:lineRule="auto"/>
        <w:ind w:left="851"/>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Stopień wykorzystania budżetu określonego w ostatnim aneksie do umowy ramowej w stosunku do wniosków wybranych do dofinansowani przez Stowarzyszenie LGD Bory Dolnośląskie i dla których została wypłacona pomoc finansowa wynosi 71,16%.</w:t>
      </w:r>
    </w:p>
    <w:p w:rsidR="00294BD0" w:rsidRDefault="00294BD0">
      <w:pPr>
        <w:spacing w:after="0" w:line="240" w:lineRule="auto"/>
        <w:jc w:val="both"/>
        <w:rPr>
          <w:rFonts w:ascii="Times New Roman" w:eastAsia="Times New Roman" w:hAnsi="Times New Roman" w:cs="Times New Roman"/>
          <w:color w:val="000000"/>
          <w:sz w:val="24"/>
          <w:szCs w:val="24"/>
        </w:rPr>
      </w:pPr>
    </w:p>
    <w:p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Wskaźniki jakie wówczas przyjęto potwierdzają, że o</w:t>
      </w:r>
      <w:r>
        <w:rPr>
          <w:rFonts w:ascii="Times New Roman" w:eastAsia="Times New Roman" w:hAnsi="Times New Roman" w:cs="Times New Roman"/>
        </w:rPr>
        <w:t xml:space="preserve">gólny poziom ich realizacji był generalnie dość zadowalający - zwłaszcza w kontekście wskaźników produktu i rezultatu. Osiągnięte wartości tych dwóch typów wskaźników jeśli nie przekraczały wartości zakładanych lub równały się z nimi, to zazwyczaj nie były od nich relatywnie niższe. </w:t>
      </w:r>
    </w:p>
    <w:p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W wyniku analizy osiągniętych wskaźników uznać należy, że istnieje dalsza potrzeba rozwoju regionu jakim są Bory Dolnośląskie w założonym wcześniej kierunku.</w:t>
      </w:r>
    </w:p>
    <w:p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Przyglądając się szczególnie zrealizowanym operacjom uznać należy, że przyczyniły się one z jednej strony do zintegrowania zasobów osobowych takich jak sami mieszkańcy, którzy zaczynają identyfikować się z regionem jak również zasobów instytucjonalnych. Poziom współpracy zarówno samorządów jak i przedsiębiorców skupionych wokół Lokalnej Grupy Działania znacznie się polepszył a poziom współpracy wzrósł. Relacje pomiędzy przedstawicielami z różnych sektorów polepszyły się, rozluźniły i nabrały charakteru wspólnego zaufania ale i poczucia, że tylko współpraca rodzić może obfite plony.</w:t>
      </w:r>
    </w:p>
    <w:p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Potencjał ten powinien zostać wykorzystany poprzez dalszy, systematyczny ich rozwój, doinwestowanie a także dokształcenie zasobów zaangażowanych w realizację poszczególnych działań.</w:t>
      </w:r>
    </w:p>
    <w:p w:rsidR="00294BD0" w:rsidRDefault="00294BD0">
      <w:pPr>
        <w:spacing w:after="0" w:line="240" w:lineRule="auto"/>
        <w:ind w:left="425"/>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Tak zintegrowany kapitał ludzki wykorzystany zostanie do dalszego rozwoju regionu w zakresie kultywowania odziedziczonych wartości kulturowych, realizacji działań edukacyjnych oraz rozwoju bazy pozwalającej na dalszą integrację zasobów osobowych i instytucjonalnych.</w:t>
      </w:r>
    </w:p>
    <w:p w:rsidR="00294BD0" w:rsidRDefault="00294BD0">
      <w:pPr>
        <w:spacing w:after="0" w:line="240" w:lineRule="auto"/>
        <w:ind w:left="426"/>
        <w:jc w:val="both"/>
        <w:rPr>
          <w:rFonts w:ascii="Times New Roman" w:eastAsia="Times New Roman" w:hAnsi="Times New Roman" w:cs="Times New Roman"/>
          <w:b/>
          <w:color w:val="000000"/>
          <w:u w:val="single"/>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Stowarzyszenie LGD Bory Dolnośląskie w roku 2010 realizowała dodatkowo projekt współfinansowany ze środków Ministerstwa Pracy i Polityki Społecznej w ramach Programu Fundusz Inicjatyw Obywatelskich pt. „Sprawne LGD gwarancją rozwoju województwa lubuskiego”. Celem projektu była poprawa skuteczności LGD w budowaniu współpracy międzysektorowej na rzecz rozwoju obszarów wiejskich, rozwój wiedzy członków LGD  z zakresu form, narzędzi i instrumentów ekonomii społecznej, alternatywnych form zatrudniania społeczności wiejskiej oraz źródeł finansowania działań aktywizujących społeczność lokalną. Wartość projektu wynosiła 124.520 zł, z czego kwota dotacji stanowiła 111.100 zł. Umowa na realizację zadania stanowi załącznik do wniosku o wybór LGD do realizacji Strategii.</w:t>
      </w:r>
    </w:p>
    <w:p w:rsidR="00294BD0" w:rsidRDefault="00294BD0">
      <w:pPr>
        <w:spacing w:after="0" w:line="240" w:lineRule="auto"/>
        <w:ind w:left="426"/>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Stowarzyszenie LGD Bory Dolnośląskie w latach 2012-2014 było partnerem w realizacji projektu współpracy o akronimie SZKOT tj. Szlaki Konne Orężem Turystyki. Drugim partnerem projektu była LGD Pogórze Izerskie, natomiast liderem była LGD Wzgórza Dalkowskie. Projekt ten posiadał charakter regionalny i realizowany był przez 3 partnerów równolegle.</w:t>
      </w:r>
    </w:p>
    <w:p w:rsidR="00294BD0" w:rsidRDefault="00294BD0">
      <w:pPr>
        <w:spacing w:after="0" w:line="240" w:lineRule="auto"/>
        <w:ind w:left="426"/>
        <w:jc w:val="both"/>
        <w:rPr>
          <w:rFonts w:ascii="Times New Roman" w:eastAsia="Times New Roman" w:hAnsi="Times New Roman" w:cs="Times New Roman"/>
          <w:b/>
          <w:color w:val="000000"/>
          <w:u w:val="single"/>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Stowarzyszenie LGD w okresie 2007-2013 posiadało również swoje biuro. Personel biura to te same osoby, które rozpoczęły prace jeszcze przy Schemacie II Leadera+ w Fundacji Bory Dolnośląskie. Zgodnie z przyjętym statutem personel zatrudniany jest przez Zarząd. Zarząd także dostosowuje skład osobowy biura do realnych potrzeb Stowarzyszenia oraz jego możliwości finansowych i organizacyjnych. Biurem Stowarzyszenia kieruje Dyrektor Biura. Odpowiada on bezpośrednio za organizację pracy całego personelu. Biuro Stowarzyszenia pracuje według uchwalonego regulaminu.</w:t>
      </w:r>
    </w:p>
    <w:p w:rsidR="00294BD0" w:rsidRDefault="00294BD0">
      <w:pPr>
        <w:spacing w:after="0" w:line="240" w:lineRule="auto"/>
        <w:ind w:left="426"/>
        <w:jc w:val="both"/>
        <w:rPr>
          <w:rFonts w:ascii="Times New Roman" w:eastAsia="Times New Roman" w:hAnsi="Times New Roman" w:cs="Times New Roman"/>
          <w:color w:val="000000"/>
        </w:rPr>
      </w:pPr>
    </w:p>
    <w:p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Struktura organizacyjna Biura Stowarzyszenia przedstawiała się następująco.</w:t>
      </w:r>
    </w:p>
    <w:p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Dyrektor Biura – Mariusz Leszczyński</w:t>
      </w:r>
    </w:p>
    <w:p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Główny Księgowy – Edyta Sawicka</w:t>
      </w:r>
    </w:p>
    <w:p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Specjalista ds. rozwoju obszarów wiejskich – Jolanta Marciniak-Sych</w:t>
      </w:r>
    </w:p>
    <w:p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Animator ds. projektów społecznych – Urszula Antończyk</w:t>
      </w:r>
    </w:p>
    <w:p w:rsidR="00294BD0" w:rsidRDefault="00294BD0">
      <w:pPr>
        <w:numPr>
          <w:ilvl w:val="1"/>
          <w:numId w:val="53"/>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Kontroler prac w terenie (umowa zlecenie) – Agata Tymczyszyn</w:t>
      </w:r>
    </w:p>
    <w:p w:rsidR="00294BD0" w:rsidRDefault="00294BD0">
      <w:pPr>
        <w:tabs>
          <w:tab w:val="left" w:pos="1440"/>
        </w:tabs>
        <w:spacing w:after="0" w:line="240" w:lineRule="auto"/>
        <w:ind w:left="426"/>
        <w:jc w:val="both"/>
        <w:rPr>
          <w:rFonts w:ascii="Times New Roman" w:eastAsia="Times New Roman" w:hAnsi="Times New Roman" w:cs="Times New Roman"/>
          <w:color w:val="000000"/>
        </w:rPr>
      </w:pPr>
    </w:p>
    <w:p w:rsidR="00294BD0" w:rsidRDefault="00294BD0">
      <w:pPr>
        <w:tabs>
          <w:tab w:val="left" w:pos="1440"/>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Wszyscy z zatrudnionych pracowników dzięki swojej wieloletniej pracy zdobyli solidne doświadczenie, wiedzę oraz praktykę niezbędną w nowym okresie programowania. Doświadczenie pracowników biura oraz opis stanowisk stanowi załącznik do wniosku o wybór LGD do realizacji Strategii.</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keepNext/>
        <w:numPr>
          <w:ilvl w:val="0"/>
          <w:numId w:val="43"/>
        </w:numPr>
        <w:spacing w:after="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kern w:val="1"/>
        </w:rPr>
        <w:t>Opis struktury LGD</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rPr>
        <w:t>Obecnie struktura</w:t>
      </w:r>
      <w:r>
        <w:rPr>
          <w:rFonts w:ascii="Times New Roman" w:eastAsia="Times New Roman" w:hAnsi="Times New Roman" w:cs="Times New Roman"/>
          <w:color w:val="000000"/>
        </w:rPr>
        <w:t xml:space="preserve"> Stowarzyszenia Lokalna Grupa Działania Bory Dolnośląskie jest tak skonstruowana, aby oddawać w sposób reprezentatywny obszar LGD i społeczność zamieszkującą na jego obszarze.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Obecnie Lokalną Grupę Działania tworzy 58 podmiotów, z czego sektor publiczny reprezentuje 13 podmiotów, sektor gospodarczy 13 podmiotów, sektor społeczny 15 podmiotów oraz 17 mieszkańców. Poniższa tabela w sposób szczegółowy prezentuje skład Stowarzyszenia LGD Bory Dolnośląskie.</w:t>
      </w:r>
    </w:p>
    <w:p w:rsidR="00294BD0" w:rsidRDefault="00294BD0">
      <w:pPr>
        <w:spacing w:after="0" w:line="240" w:lineRule="auto"/>
        <w:ind w:left="284"/>
        <w:jc w:val="both"/>
        <w:rPr>
          <w:rFonts w:ascii="Times New Roman" w:eastAsia="Times New Roman" w:hAnsi="Times New Roman" w:cs="Times New Roman"/>
          <w:color w:val="000000"/>
        </w:rPr>
      </w:pPr>
    </w:p>
    <w:tbl>
      <w:tblPr>
        <w:tblW w:w="0" w:type="auto"/>
        <w:tblInd w:w="377" w:type="dxa"/>
        <w:tblLayout w:type="fixed"/>
        <w:tblLook w:val="0000" w:firstRow="0" w:lastRow="0" w:firstColumn="0" w:lastColumn="0" w:noHBand="0" w:noVBand="0"/>
      </w:tblPr>
      <w:tblGrid>
        <w:gridCol w:w="864"/>
        <w:gridCol w:w="2079"/>
        <w:gridCol w:w="2563"/>
        <w:gridCol w:w="3285"/>
        <w:gridCol w:w="1529"/>
      </w:tblGrid>
      <w:tr w:rsidR="00294BD0">
        <w:tc>
          <w:tcPr>
            <w:tcW w:w="86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Gmina</w:t>
            </w:r>
          </w:p>
        </w:tc>
        <w:tc>
          <w:tcPr>
            <w:tcW w:w="2079"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publiczny</w:t>
            </w:r>
          </w:p>
          <w:p w:rsidR="00294BD0" w:rsidRDefault="00294BD0">
            <w:pPr>
              <w:spacing w:after="0" w:line="240" w:lineRule="auto"/>
              <w:jc w:val="center"/>
              <w:rPr>
                <w:rFonts w:ascii="Times New Roman" w:hAnsi="Times New Roman" w:cs="Times New Roman"/>
                <w:b/>
              </w:rPr>
            </w:pPr>
          </w:p>
        </w:tc>
        <w:tc>
          <w:tcPr>
            <w:tcW w:w="2563"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gospodarczy</w:t>
            </w:r>
          </w:p>
        </w:tc>
        <w:tc>
          <w:tcPr>
            <w:tcW w:w="328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społeczny</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tabs>
                <w:tab w:val="left" w:pos="1136"/>
              </w:tabs>
              <w:spacing w:after="0" w:line="240" w:lineRule="auto"/>
              <w:jc w:val="center"/>
            </w:pPr>
            <w:r>
              <w:rPr>
                <w:rFonts w:ascii="Times New Roman" w:hAnsi="Times New Roman" w:cs="Times New Roman"/>
                <w:b/>
              </w:rPr>
              <w:t>Mieszkańcy</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Małomice</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Miejski w Małomicach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Małgorzatę Sendecką </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Katering Halinka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Elżbietę Sieniuć</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Fundacja Chichy Art. Reprezentowaną przez: Leokadię Brudzińską-Dobrowolską</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Fundacja A Priori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Mariusza Leszczyńskiego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Ewa Ciućmańska</w:t>
            </w:r>
          </w:p>
          <w:p w:rsidR="00294BD0" w:rsidRDefault="00294BD0">
            <w:pPr>
              <w:spacing w:after="0" w:line="240" w:lineRule="auto"/>
            </w:pPr>
            <w:r>
              <w:rPr>
                <w:rFonts w:ascii="Times New Roman" w:hAnsi="Times New Roman" w:cs="Times New Roman"/>
              </w:rPr>
              <w:t xml:space="preserve">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Gozdnica</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Gozdnica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Krzysztofa Jarosza </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MARKET PLUS ECOWOOD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Jarosława Podyma</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Fundacja Instytut Wsparcia Aktywności Społecznej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Joannę Gajdzińską</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eastAsia="Times New Roman" w:hAnsi="Times New Roman" w:cs="Times New Roman"/>
              </w:rPr>
            </w:pPr>
            <w:r>
              <w:rPr>
                <w:rFonts w:ascii="Times New Roman" w:hAnsi="Times New Roman" w:cs="Times New Roman"/>
              </w:rPr>
              <w:t>Ewa Grzelak</w:t>
            </w:r>
          </w:p>
          <w:p w:rsidR="00294BD0" w:rsidRDefault="00294BD0">
            <w:pPr>
              <w:spacing w:after="0" w:line="240" w:lineRule="auto"/>
            </w:pPr>
            <w:r>
              <w:rPr>
                <w:rFonts w:ascii="Times New Roman" w:eastAsia="Times New Roman" w:hAnsi="Times New Roman" w:cs="Times New Roman"/>
              </w:rPr>
              <w:t xml:space="preserve">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Wymiarki</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w Wymiarkach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Wojciecha Olszewskiego</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lang w:val="en-US"/>
              </w:rPr>
            </w:pPr>
            <w:r>
              <w:rPr>
                <w:rFonts w:ascii="Times New Roman" w:hAnsi="Times New Roman" w:cs="Times New Roman"/>
              </w:rPr>
              <w:t>Gminny Ośrodek Kultury i Biblioteki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lang w:val="en-US"/>
              </w:rPr>
              <w:t>Annę Janus-Szymańską</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„MeVi” 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Jarosława Biesiadeckiego</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p w:rsidR="00294BD0" w:rsidRDefault="00294BD0">
            <w:pPr>
              <w:spacing w:after="0" w:line="240" w:lineRule="auto"/>
              <w:rPr>
                <w:rFonts w:ascii="Times New Roman" w:hAnsi="Times New Roman" w:cs="Times New Roman"/>
              </w:rPr>
            </w:pPr>
            <w:r>
              <w:rPr>
                <w:rFonts w:ascii="Times New Roman" w:hAnsi="Times New Roman" w:cs="Times New Roman"/>
              </w:rPr>
              <w:t>Zakład Mararniczy „Czarniecki i syn”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Jarosława Czarnieckiego</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p w:rsidR="00294BD0" w:rsidRDefault="00294BD0">
            <w:pPr>
              <w:spacing w:after="0" w:line="240" w:lineRule="auto"/>
              <w:rPr>
                <w:rFonts w:ascii="Times New Roman" w:hAnsi="Times New Roman" w:cs="Times New Roman"/>
              </w:rPr>
            </w:pPr>
            <w:r>
              <w:rPr>
                <w:rFonts w:ascii="Times New Roman" w:hAnsi="Times New Roman" w:cs="Times New Roman"/>
              </w:rPr>
              <w:t>STUDIO DEKORACJI ŚLUBNEJ „EVII” 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Ewelinę Podyma</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Stowarzyszenie kulturalno-Sportowe ISKRA reprezentowane przez:</w:t>
            </w:r>
          </w:p>
          <w:p w:rsidR="00294BD0" w:rsidRDefault="00294BD0">
            <w:pPr>
              <w:spacing w:after="0" w:line="240" w:lineRule="auto"/>
              <w:rPr>
                <w:rFonts w:ascii="Times New Roman" w:hAnsi="Times New Roman" w:cs="Times New Roman"/>
                <w:lang w:val="en-US"/>
              </w:rPr>
            </w:pPr>
            <w:r>
              <w:rPr>
                <w:rFonts w:ascii="Times New Roman" w:hAnsi="Times New Roman" w:cs="Times New Roman"/>
              </w:rPr>
              <w:t>Ireneusza Klejszta</w:t>
            </w:r>
          </w:p>
          <w:p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Krystyna Michałów</w:t>
            </w:r>
          </w:p>
          <w:p w:rsidR="00294BD0" w:rsidRDefault="00294BD0">
            <w:pPr>
              <w:spacing w:after="0" w:line="240" w:lineRule="auto"/>
              <w:rPr>
                <w:rFonts w:ascii="Times New Roman" w:hAnsi="Times New Roman" w:cs="Times New Roman"/>
                <w:color w:val="FF0000"/>
              </w:rPr>
            </w:pPr>
            <w:r>
              <w:rPr>
                <w:rFonts w:ascii="Times New Roman" w:hAnsi="Times New Roman" w:cs="Times New Roman"/>
              </w:rPr>
              <w:t xml:space="preserve"> </w:t>
            </w:r>
          </w:p>
          <w:p w:rsidR="00294BD0" w:rsidRDefault="00294BD0">
            <w:pPr>
              <w:spacing w:after="0" w:line="240" w:lineRule="auto"/>
              <w:rPr>
                <w:rFonts w:ascii="Times New Roman" w:hAnsi="Times New Roman" w:cs="Times New Roman"/>
                <w:color w:val="FF0000"/>
              </w:rPr>
            </w:pP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Żagań</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Żagań reprezentowany przez:</w:t>
            </w:r>
          </w:p>
          <w:p w:rsidR="00294BD0" w:rsidRDefault="00294BD0">
            <w:pPr>
              <w:spacing w:after="0" w:line="240" w:lineRule="auto"/>
              <w:ind w:hanging="21"/>
              <w:rPr>
                <w:rFonts w:ascii="Times New Roman" w:hAnsi="Times New Roman" w:cs="Times New Roman"/>
              </w:rPr>
            </w:pPr>
            <w:r>
              <w:rPr>
                <w:rFonts w:ascii="Times New Roman" w:hAnsi="Times New Roman" w:cs="Times New Roman"/>
              </w:rPr>
              <w:t>Agnieszkę Antosz</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AUTO – CZĘŚCI 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Monikę Lipską</w:t>
            </w:r>
          </w:p>
          <w:p w:rsidR="00294BD0" w:rsidRDefault="00294BD0">
            <w:pPr>
              <w:spacing w:after="0" w:line="240" w:lineRule="auto"/>
              <w:rPr>
                <w:rFonts w:ascii="Times New Roman" w:hAnsi="Times New Roman" w:cs="Times New Roman"/>
                <w:color w:val="000000"/>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Stowarzyszenie Muzyków Ludowych „Złote Łany” reprezentowane przez:</w:t>
            </w:r>
          </w:p>
          <w:p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Tadeusza Błacha</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rPr>
              <w:t>Adam Górniak</w:t>
            </w:r>
          </w:p>
          <w:p w:rsidR="00294BD0" w:rsidRDefault="00294BD0">
            <w:pPr>
              <w:spacing w:after="0" w:line="240" w:lineRule="auto"/>
            </w:pPr>
            <w:r>
              <w:rPr>
                <w:rFonts w:ascii="Times New Roman" w:hAnsi="Times New Roman" w:cs="Times New Roman"/>
                <w:color w:val="000000"/>
                <w:lang w:val="en-US"/>
              </w:rPr>
              <w:t xml:space="preserve">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Żary</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w Żarach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Leszka Mrożka</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Gminna Spółdzielnia „Samopomoc Chłopska” reprezentowana przez:</w:t>
            </w:r>
          </w:p>
          <w:p w:rsidR="00294BD0" w:rsidRDefault="00294BD0">
            <w:pPr>
              <w:spacing w:after="0" w:line="240" w:lineRule="auto"/>
              <w:rPr>
                <w:rFonts w:ascii="Times New Roman" w:hAnsi="Times New Roman" w:cs="Times New Roman"/>
                <w:color w:val="000000"/>
              </w:rPr>
            </w:pPr>
            <w:r>
              <w:rPr>
                <w:rFonts w:ascii="Times New Roman" w:hAnsi="Times New Roman" w:cs="Times New Roman"/>
              </w:rPr>
              <w:t>Romana Lichwiarza</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Stowarzyszenie „Łaz – Zielony Las” reprezentowane przez:</w:t>
            </w:r>
          </w:p>
          <w:p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Danutę Lichwiarz</w:t>
            </w:r>
          </w:p>
          <w:p w:rsidR="00294BD0" w:rsidRDefault="00294BD0">
            <w:pPr>
              <w:spacing w:after="0" w:line="240" w:lineRule="auto"/>
              <w:rPr>
                <w:rFonts w:ascii="Times New Roman" w:hAnsi="Times New Roman" w:cs="Times New Roman"/>
                <w:color w:val="000000"/>
              </w:rPr>
            </w:pPr>
          </w:p>
          <w:p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rPr>
              <w:t>Fundacja Natura Polska reprezentowana przez: Krzysztofa Piasecznego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Ewelina Wentlant</w:t>
            </w:r>
          </w:p>
          <w:p w:rsidR="00294BD0" w:rsidRDefault="00294BD0">
            <w:pPr>
              <w:spacing w:after="0" w:line="240" w:lineRule="auto"/>
              <w:rPr>
                <w:rFonts w:ascii="Times New Roman" w:hAnsi="Times New Roman" w:cs="Times New Roman"/>
                <w:color w:val="000000"/>
                <w:lang w:val="en-US"/>
              </w:rPr>
            </w:pPr>
          </w:p>
          <w:p w:rsidR="00294BD0" w:rsidRDefault="00294BD0">
            <w:pPr>
              <w:spacing w:after="0" w:line="240" w:lineRule="auto"/>
            </w:pPr>
            <w:r>
              <w:rPr>
                <w:rFonts w:ascii="Times New Roman" w:hAnsi="Times New Roman" w:cs="Times New Roman"/>
                <w:color w:val="000000"/>
              </w:rPr>
              <w:t>Genowefa Jurec</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Przewóz</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Przewóz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Ryszarda Klisowskiego</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lang w:val="en-US"/>
              </w:rPr>
            </w:pP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Stawicki Andrzej PHU MASINEXPORT BIKE HOSTEL -  </w:t>
            </w:r>
          </w:p>
          <w:p w:rsidR="00294BD0" w:rsidRDefault="00294BD0">
            <w:pPr>
              <w:spacing w:after="0" w:line="240" w:lineRule="auto"/>
              <w:rPr>
                <w:rFonts w:ascii="Times New Roman" w:hAnsi="Times New Roman" w:cs="Times New Roman"/>
              </w:rPr>
            </w:pPr>
            <w:r>
              <w:rPr>
                <w:rFonts w:ascii="Times New Roman" w:hAnsi="Times New Roman" w:cs="Times New Roman"/>
              </w:rPr>
              <w:t>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Andrzeja Stawickiego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Ochotnicza Straż Pożarna w Przewozie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Mirosławę Klisowską</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Stowarzyszenie na rzecz rozwoju Dobrochowa reprezentowane przez: Bożenę Staniek</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Ewelina Rzepka</w:t>
            </w:r>
          </w:p>
          <w:p w:rsidR="00294BD0" w:rsidRDefault="00294BD0">
            <w:pPr>
              <w:spacing w:after="0" w:line="240" w:lineRule="auto"/>
              <w:rPr>
                <w:rFonts w:ascii="Times New Roman" w:hAnsi="Times New Roman" w:cs="Times New Roman"/>
              </w:rPr>
            </w:pPr>
          </w:p>
          <w:p w:rsidR="00294BD0" w:rsidRDefault="00294BD0">
            <w:pPr>
              <w:spacing w:after="0" w:line="240" w:lineRule="auto"/>
            </w:pPr>
            <w:r>
              <w:rPr>
                <w:rFonts w:ascii="Times New Roman" w:hAnsi="Times New Roman" w:cs="Times New Roman"/>
              </w:rPr>
              <w:t xml:space="preserve">Joanna Jaworska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Iłowa</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w Iłowej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Pawła Lichtańskiego</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Janina Królewicz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Reprezentowana przez: </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Janinę Królewicz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Fundacja Bory Dolnośląskie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Jana Woronika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Jolanta Marciniak-Sych</w:t>
            </w:r>
          </w:p>
          <w:p w:rsidR="00294BD0" w:rsidRDefault="00294BD0">
            <w:pPr>
              <w:spacing w:after="0" w:line="240" w:lineRule="auto"/>
            </w:pPr>
            <w:r>
              <w:rPr>
                <w:rFonts w:ascii="Times New Roman" w:hAnsi="Times New Roman" w:cs="Times New Roman"/>
              </w:rPr>
              <w:t xml:space="preserve">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Osiecznica</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Osiecznica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Waldemara Nalazeka</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Gminny Ośrodek Kultury i Sportu w Osiecznicy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Monikę Kumosz</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lang w:val="en-US"/>
              </w:rPr>
            </w:pPr>
            <w:r>
              <w:rPr>
                <w:rFonts w:ascii="Times New Roman" w:hAnsi="Times New Roman" w:cs="Times New Roman"/>
              </w:rPr>
              <w:t>Zamek Kliczków sp. z o.o., Centrum konferencyjno –wypoczynkowe reprezentowany przez:</w:t>
            </w:r>
          </w:p>
          <w:p w:rsidR="00294BD0" w:rsidRDefault="00294BD0">
            <w:pPr>
              <w:spacing w:after="0" w:line="240" w:lineRule="auto"/>
              <w:rPr>
                <w:rFonts w:ascii="Times New Roman" w:hAnsi="Times New Roman" w:cs="Times New Roman"/>
                <w:lang w:val="en-US"/>
              </w:rPr>
            </w:pPr>
            <w:r>
              <w:rPr>
                <w:rFonts w:ascii="Times New Roman" w:hAnsi="Times New Roman" w:cs="Times New Roman"/>
                <w:lang w:val="en-US"/>
              </w:rPr>
              <w:t>Magdalenę Piasecką-Ludwin</w:t>
            </w:r>
          </w:p>
          <w:p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Stowarzyszenie „Leśna Ławszowa”</w:t>
            </w:r>
          </w:p>
          <w:p w:rsidR="00294BD0" w:rsidRDefault="00294BD0">
            <w:pPr>
              <w:spacing w:after="0" w:line="240" w:lineRule="auto"/>
              <w:rPr>
                <w:rFonts w:ascii="Times New Roman" w:hAnsi="Times New Roman" w:cs="Times New Roman"/>
                <w:lang w:val="en-US"/>
              </w:rPr>
            </w:pPr>
            <w:r>
              <w:rPr>
                <w:rFonts w:ascii="Times New Roman" w:hAnsi="Times New Roman" w:cs="Times New Roman"/>
              </w:rPr>
              <w:t>reprezentowane przez:</w:t>
            </w:r>
          </w:p>
          <w:p w:rsidR="00294BD0" w:rsidRDefault="00294BD0">
            <w:pPr>
              <w:spacing w:after="0" w:line="240" w:lineRule="auto"/>
              <w:rPr>
                <w:rFonts w:ascii="Times New Roman" w:hAnsi="Times New Roman" w:cs="Times New Roman"/>
                <w:lang w:val="en-US"/>
              </w:rPr>
            </w:pPr>
            <w:r>
              <w:rPr>
                <w:rFonts w:ascii="Times New Roman" w:hAnsi="Times New Roman" w:cs="Times New Roman"/>
                <w:lang w:val="en-US"/>
              </w:rPr>
              <w:t>Wandę Abram</w:t>
            </w:r>
          </w:p>
          <w:p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lang w:val="en-US"/>
              </w:rPr>
            </w:pPr>
            <w:r>
              <w:rPr>
                <w:rFonts w:ascii="Times New Roman" w:hAnsi="Times New Roman" w:cs="Times New Roman"/>
              </w:rPr>
              <w:t>Tomasz Słonecki</w:t>
            </w:r>
          </w:p>
          <w:p w:rsidR="00294BD0" w:rsidRDefault="00294BD0">
            <w:pPr>
              <w:spacing w:after="0" w:line="240" w:lineRule="auto"/>
            </w:pPr>
            <w:r>
              <w:rPr>
                <w:rFonts w:ascii="Times New Roman" w:hAnsi="Times New Roman" w:cs="Times New Roman"/>
                <w:lang w:val="en-US"/>
              </w:rPr>
              <w:t xml:space="preserve"> </w:t>
            </w: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Pieńsk</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lang w:val="en-US"/>
              </w:rPr>
            </w:pPr>
            <w:r>
              <w:rPr>
                <w:rFonts w:ascii="Times New Roman" w:hAnsi="Times New Roman" w:cs="Times New Roman"/>
              </w:rPr>
              <w:t>Urząd Miasta i Gminy w Pieńsku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lang w:val="en-US"/>
              </w:rPr>
              <w:t>Adriannę Wojdak</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Firma Handlowa „TOM-AR” reprezentowana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Jolantę Strojną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Stowarzyszenie  Promocji Kultury Ziemi Pieńskiej 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Pawła Czaplińskiego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Jerzy Strojny</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Artur Gradecki</w:t>
            </w:r>
          </w:p>
          <w:p w:rsidR="00294BD0" w:rsidRDefault="00294BD0">
            <w:pPr>
              <w:spacing w:after="0" w:line="240" w:lineRule="auto"/>
              <w:rPr>
                <w:rFonts w:ascii="Times New Roman" w:hAnsi="Times New Roman" w:cs="Times New Roman"/>
              </w:rPr>
            </w:pPr>
          </w:p>
        </w:tc>
      </w:tr>
      <w:tr w:rsidR="00294BD0">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Węgliniec</w:t>
            </w:r>
          </w:p>
        </w:tc>
        <w:tc>
          <w:tcPr>
            <w:tcW w:w="2079"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Urząd Gminy i Miasta Węgliniec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Stanisława Mikołajczyka</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Miejsko- Gminny Ośrodek Kultury w Węglińcu 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Izabelę Uśpieńską-Domagała</w:t>
            </w:r>
          </w:p>
        </w:tc>
        <w:tc>
          <w:tcPr>
            <w:tcW w:w="2563"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USŁUGI OGÓLNOBUDOWLANE</w:t>
            </w:r>
          </w:p>
          <w:p w:rsidR="00294BD0" w:rsidRDefault="00294BD0">
            <w:pPr>
              <w:spacing w:after="0" w:line="240" w:lineRule="auto"/>
              <w:rPr>
                <w:rFonts w:ascii="Times New Roman" w:hAnsi="Times New Roman" w:cs="Times New Roman"/>
              </w:rPr>
            </w:pPr>
            <w:r>
              <w:rPr>
                <w:rFonts w:ascii="Times New Roman" w:hAnsi="Times New Roman" w:cs="Times New Roman"/>
              </w:rPr>
              <w:t>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Mariusza Wieczorka</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Sklep Wielobranżowy</w:t>
            </w:r>
          </w:p>
          <w:p w:rsidR="00294BD0" w:rsidRDefault="00294BD0">
            <w:pPr>
              <w:spacing w:after="0" w:line="240" w:lineRule="auto"/>
              <w:rPr>
                <w:rFonts w:ascii="Times New Roman" w:hAnsi="Times New Roman" w:cs="Times New Roman"/>
              </w:rPr>
            </w:pPr>
            <w:r>
              <w:rPr>
                <w:rFonts w:ascii="Times New Roman" w:hAnsi="Times New Roman" w:cs="Times New Roman"/>
              </w:rPr>
              <w:t>Reprezentowany przez:</w:t>
            </w:r>
          </w:p>
          <w:p w:rsidR="00294BD0" w:rsidRDefault="00294BD0">
            <w:pPr>
              <w:spacing w:after="0" w:line="240" w:lineRule="auto"/>
              <w:rPr>
                <w:rFonts w:ascii="Times New Roman" w:hAnsi="Times New Roman" w:cs="Times New Roman"/>
              </w:rPr>
            </w:pPr>
            <w:r>
              <w:rPr>
                <w:rFonts w:ascii="Times New Roman" w:hAnsi="Times New Roman" w:cs="Times New Roman"/>
              </w:rPr>
              <w:t>Beatę Świderską</w:t>
            </w:r>
          </w:p>
          <w:p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Stowarzyszenie Miłośników Ziemi Węglinieckiej reprezentowane przez:</w:t>
            </w:r>
          </w:p>
          <w:p w:rsidR="00294BD0" w:rsidRDefault="00294BD0">
            <w:pPr>
              <w:spacing w:after="0" w:line="240" w:lineRule="auto"/>
              <w:rPr>
                <w:rFonts w:ascii="Times New Roman" w:hAnsi="Times New Roman" w:cs="Times New Roman"/>
              </w:rPr>
            </w:pPr>
            <w:r>
              <w:rPr>
                <w:rFonts w:ascii="Times New Roman" w:hAnsi="Times New Roman" w:cs="Times New Roman"/>
              </w:rPr>
              <w:t>Krzysztofa Polewskiego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Agata Adamczyk</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Edward Remiszewski</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Danuta Wawrzynek</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Paweł Lubarski</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r>
              <w:rPr>
                <w:rFonts w:ascii="Times New Roman" w:hAnsi="Times New Roman" w:cs="Times New Roman"/>
              </w:rPr>
              <w:t>Jadwiga Kuternozińska</w:t>
            </w:r>
          </w:p>
          <w:p w:rsidR="00294BD0" w:rsidRDefault="00294BD0">
            <w:pPr>
              <w:spacing w:after="0" w:line="240" w:lineRule="auto"/>
              <w:rPr>
                <w:rFonts w:ascii="Times New Roman" w:hAnsi="Times New Roman" w:cs="Times New Roman"/>
              </w:rPr>
            </w:pPr>
          </w:p>
          <w:p w:rsidR="00294BD0" w:rsidRDefault="00294BD0">
            <w:pPr>
              <w:spacing w:after="0" w:line="240" w:lineRule="auto"/>
              <w:rPr>
                <w:rFonts w:ascii="Times New Roman" w:hAnsi="Times New Roman" w:cs="Times New Roman"/>
              </w:rPr>
            </w:pPr>
          </w:p>
        </w:tc>
      </w:tr>
      <w:tr w:rsidR="00294BD0">
        <w:trPr>
          <w:cantSplit/>
          <w:trHeight w:val="1134"/>
        </w:trPr>
        <w:tc>
          <w:tcPr>
            <w:tcW w:w="864" w:type="dxa"/>
            <w:vMerge w:val="restart"/>
            <w:tcBorders>
              <w:top w:val="single" w:sz="4" w:space="0" w:color="000000"/>
              <w:left w:val="single" w:sz="4" w:space="0" w:color="000000"/>
              <w:bottom w:val="single" w:sz="4" w:space="0" w:color="000000"/>
            </w:tcBorders>
            <w:shd w:val="clear" w:color="auto" w:fill="FFFFFF"/>
            <w:textDirection w:val="btLr"/>
          </w:tcPr>
          <w:p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Z poza obszaru LGD</w:t>
            </w:r>
          </w:p>
        </w:tc>
        <w:tc>
          <w:tcPr>
            <w:tcW w:w="4642" w:type="dxa"/>
            <w:gridSpan w:val="2"/>
            <w:vMerge w:val="restart"/>
            <w:tcBorders>
              <w:top w:val="single" w:sz="4" w:space="0" w:color="000000"/>
              <w:left w:val="single" w:sz="4" w:space="0" w:color="000000"/>
              <w:bottom w:val="single" w:sz="4" w:space="0" w:color="000000"/>
            </w:tcBorders>
            <w:shd w:val="clear" w:color="auto" w:fill="FFFFFF"/>
          </w:tcPr>
          <w:p w:rsidR="00294BD0" w:rsidRDefault="00294BD0">
            <w:pPr>
              <w:snapToGrid w:val="0"/>
              <w:spacing w:after="0" w:line="240" w:lineRule="auto"/>
              <w:rPr>
                <w:rFonts w:ascii="Times New Roman" w:hAnsi="Times New Roman" w:cs="Times New Roman"/>
              </w:rPr>
            </w:pP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 xml:space="preserve">Fundacja Pro Culturae Bono </w:t>
            </w:r>
          </w:p>
          <w:p w:rsidR="00294BD0" w:rsidRDefault="00294BD0">
            <w:pPr>
              <w:spacing w:after="0" w:line="240" w:lineRule="auto"/>
              <w:rPr>
                <w:rFonts w:ascii="Times New Roman" w:hAnsi="Times New Roman" w:cs="Times New Roman"/>
              </w:rPr>
            </w:pPr>
            <w:r>
              <w:rPr>
                <w:rFonts w:ascii="Times New Roman" w:hAnsi="Times New Roman" w:cs="Times New Roman"/>
              </w:rPr>
              <w:t>reprezentowana przez:</w:t>
            </w:r>
          </w:p>
          <w:p w:rsidR="00294BD0" w:rsidRDefault="00294BD0">
            <w:pPr>
              <w:spacing w:after="0" w:line="240" w:lineRule="auto"/>
              <w:rPr>
                <w:rFonts w:ascii="Times New Roman" w:hAnsi="Times New Roman" w:cs="Times New Roman"/>
                <w:b/>
              </w:rPr>
            </w:pPr>
            <w:r>
              <w:rPr>
                <w:rFonts w:ascii="Times New Roman" w:hAnsi="Times New Roman" w:cs="Times New Roman"/>
              </w:rPr>
              <w:t>Jerzego Ludwina</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94BD0" w:rsidRDefault="00294BD0">
            <w:pPr>
              <w:snapToGrid w:val="0"/>
              <w:spacing w:after="0" w:line="240" w:lineRule="auto"/>
              <w:rPr>
                <w:rFonts w:ascii="Times New Roman" w:hAnsi="Times New Roman" w:cs="Times New Roman"/>
                <w:b/>
              </w:rPr>
            </w:pPr>
          </w:p>
        </w:tc>
      </w:tr>
      <w:tr w:rsidR="00294BD0">
        <w:trPr>
          <w:cantSplit/>
          <w:trHeight w:val="1134"/>
        </w:trPr>
        <w:tc>
          <w:tcPr>
            <w:tcW w:w="864" w:type="dxa"/>
            <w:vMerge/>
            <w:tcBorders>
              <w:top w:val="single" w:sz="4" w:space="0" w:color="000000"/>
              <w:left w:val="single" w:sz="4" w:space="0" w:color="000000"/>
              <w:bottom w:val="single" w:sz="4" w:space="0" w:color="000000"/>
            </w:tcBorders>
            <w:shd w:val="clear" w:color="auto" w:fill="FFFFFF"/>
            <w:vAlign w:val="center"/>
          </w:tcPr>
          <w:p w:rsidR="00294BD0" w:rsidRDefault="00294BD0">
            <w:pPr>
              <w:snapToGrid w:val="0"/>
              <w:spacing w:after="0" w:line="240" w:lineRule="auto"/>
              <w:rPr>
                <w:rFonts w:ascii="Times New Roman" w:hAnsi="Times New Roman" w:cs="Times New Roman"/>
              </w:rPr>
            </w:pPr>
          </w:p>
        </w:tc>
        <w:tc>
          <w:tcPr>
            <w:tcW w:w="4642" w:type="dxa"/>
            <w:gridSpan w:val="2"/>
            <w:vMerge/>
            <w:tcBorders>
              <w:top w:val="single" w:sz="4" w:space="0" w:color="000000"/>
              <w:left w:val="single" w:sz="4" w:space="0" w:color="000000"/>
              <w:bottom w:val="single" w:sz="4" w:space="0" w:color="000000"/>
            </w:tcBorders>
            <w:shd w:val="clear" w:color="auto" w:fill="FFFFFF"/>
            <w:vAlign w:val="center"/>
          </w:tcPr>
          <w:p w:rsidR="00294BD0" w:rsidRDefault="00294BD0">
            <w:pPr>
              <w:snapToGrid w:val="0"/>
              <w:spacing w:after="0" w:line="240" w:lineRule="auto"/>
              <w:rPr>
                <w:rFonts w:ascii="Times New Roman" w:hAnsi="Times New Roman" w:cs="Times New Roman"/>
              </w:rPr>
            </w:pPr>
          </w:p>
        </w:tc>
        <w:tc>
          <w:tcPr>
            <w:tcW w:w="3285" w:type="dxa"/>
            <w:tcBorders>
              <w:top w:val="single" w:sz="4" w:space="0" w:color="000000"/>
              <w:left w:val="single" w:sz="4" w:space="0" w:color="000000"/>
              <w:bottom w:val="single" w:sz="4" w:space="0" w:color="000000"/>
            </w:tcBorders>
            <w:shd w:val="clear" w:color="auto" w:fill="FFFFFF"/>
          </w:tcPr>
          <w:p w:rsidR="00294BD0" w:rsidRDefault="00294BD0">
            <w:pPr>
              <w:spacing w:after="0" w:line="240" w:lineRule="auto"/>
              <w:rPr>
                <w:rFonts w:ascii="Times New Roman" w:hAnsi="Times New Roman" w:cs="Times New Roman"/>
              </w:rPr>
            </w:pPr>
            <w:r>
              <w:rPr>
                <w:rFonts w:ascii="Times New Roman" w:hAnsi="Times New Roman" w:cs="Times New Roman"/>
              </w:rPr>
              <w:t>Fundacja Ekologiczna „Zielona Akcja” reprezentowana przez:</w:t>
            </w:r>
          </w:p>
          <w:p w:rsidR="00294BD0" w:rsidRDefault="00294BD0">
            <w:pPr>
              <w:spacing w:after="0" w:line="240" w:lineRule="auto"/>
              <w:rPr>
                <w:rFonts w:ascii="Times New Roman" w:hAnsi="Times New Roman" w:cs="Times New Roman"/>
                <w:b/>
              </w:rPr>
            </w:pPr>
            <w:r>
              <w:rPr>
                <w:rFonts w:ascii="Times New Roman" w:hAnsi="Times New Roman" w:cs="Times New Roman"/>
              </w:rPr>
              <w:t>Irenę Krukowską Szopa</w:t>
            </w:r>
          </w:p>
        </w:tc>
        <w:tc>
          <w:tcPr>
            <w:tcW w:w="15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94BD0" w:rsidRDefault="00294BD0">
            <w:pPr>
              <w:snapToGrid w:val="0"/>
              <w:spacing w:after="0" w:line="240" w:lineRule="auto"/>
              <w:rPr>
                <w:rFonts w:ascii="Times New Roman" w:hAnsi="Times New Roman" w:cs="Times New Roman"/>
                <w:b/>
              </w:rPr>
            </w:pPr>
          </w:p>
        </w:tc>
      </w:tr>
    </w:tbl>
    <w:p w:rsidR="00294BD0" w:rsidRDefault="00294BD0">
      <w:pPr>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rPr>
        <w:t>(Tabela nr 3 – Wykaz członków LGD. Źródło – dane własne)</w:t>
      </w:r>
    </w:p>
    <w:p w:rsidR="00294BD0" w:rsidRDefault="00294BD0">
      <w:pPr>
        <w:spacing w:after="0" w:line="240" w:lineRule="auto"/>
        <w:ind w:left="284"/>
        <w:jc w:val="both"/>
        <w:rPr>
          <w:rFonts w:ascii="Times New Roman" w:eastAsia="Times New Roman" w:hAnsi="Times New Roman" w:cs="Times New Roman"/>
          <w:color w:val="000000"/>
          <w:sz w:val="20"/>
          <w:szCs w:val="20"/>
        </w:rPr>
      </w:pPr>
    </w:p>
    <w:p w:rsidR="00294BD0" w:rsidRDefault="00294BD0">
      <w:pPr>
        <w:spacing w:after="0" w:line="240" w:lineRule="auto"/>
        <w:ind w:left="284"/>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rPr>
        <w:t>Strukturę LGD tworzą – zgodnie z uchwalonym Statutem – następujące organy:</w:t>
      </w:r>
    </w:p>
    <w:p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ab/>
        <w:t>Walne Zebranie Członków</w:t>
      </w:r>
    </w:p>
    <w:p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4"/>
        </w:rPr>
        <w:t>b)</w:t>
      </w:r>
      <w:r>
        <w:rPr>
          <w:rFonts w:ascii="Times New Roman" w:eastAsia="Times New Roman" w:hAnsi="Times New Roman" w:cs="Times New Roman"/>
          <w:color w:val="000000"/>
          <w:spacing w:val="-4"/>
        </w:rPr>
        <w:tab/>
        <w:t>Rada</w:t>
      </w:r>
    </w:p>
    <w:p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8"/>
        </w:rPr>
        <w:t>c)</w:t>
      </w:r>
      <w:r>
        <w:rPr>
          <w:rFonts w:ascii="Times New Roman" w:eastAsia="Times New Roman" w:hAnsi="Times New Roman" w:cs="Times New Roman"/>
          <w:color w:val="000000"/>
          <w:spacing w:val="-8"/>
        </w:rPr>
        <w:tab/>
        <w:t>Zarząd</w:t>
      </w:r>
    </w:p>
    <w:p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8"/>
        </w:rPr>
        <w:t>d)</w:t>
      </w:r>
      <w:r>
        <w:rPr>
          <w:rFonts w:ascii="Times New Roman" w:eastAsia="Times New Roman" w:hAnsi="Times New Roman" w:cs="Times New Roman"/>
          <w:color w:val="000000"/>
          <w:spacing w:val="-8"/>
        </w:rPr>
        <w:tab/>
        <w:t>Komisja Rewizyjna</w:t>
      </w:r>
    </w:p>
    <w:p w:rsidR="00294BD0" w:rsidRDefault="00294BD0">
      <w:pPr>
        <w:widowControl w:val="0"/>
        <w:shd w:val="clear" w:color="auto" w:fill="FFFFFF"/>
        <w:tabs>
          <w:tab w:val="left" w:pos="284"/>
        </w:tabs>
        <w:autoSpaceDE w:val="0"/>
        <w:spacing w:after="0" w:line="240" w:lineRule="auto"/>
        <w:ind w:left="284"/>
        <w:jc w:val="both"/>
        <w:rPr>
          <w:rFonts w:ascii="Times New Roman" w:eastAsia="Times New Roman" w:hAnsi="Times New Roman" w:cs="Times New Roman"/>
          <w:color w:val="000000"/>
          <w:spacing w:val="-8"/>
        </w:rPr>
      </w:pPr>
    </w:p>
    <w:p w:rsidR="00294BD0" w:rsidRDefault="00294BD0">
      <w:pPr>
        <w:widowControl w:val="0"/>
        <w:shd w:val="clear" w:color="auto" w:fill="FFFFFF"/>
        <w:tabs>
          <w:tab w:val="left" w:pos="284"/>
        </w:tabs>
        <w:autoSpaceDE w:val="0"/>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8"/>
        </w:rPr>
        <w:t>Dokładnie kompetencje poszczególnych organów władzy Stowarzyszenia LGD Bory Dolnośląskie reguluje przyjęty statut oraz Regulaminy pracy poszczególnych organów.</w:t>
      </w:r>
    </w:p>
    <w:p w:rsidR="00294BD0" w:rsidRDefault="00294BD0">
      <w:pPr>
        <w:widowControl w:val="0"/>
        <w:shd w:val="clear" w:color="auto" w:fill="FFFFFF"/>
        <w:tabs>
          <w:tab w:val="left" w:pos="360"/>
          <w:tab w:val="left" w:pos="1136"/>
        </w:tabs>
        <w:autoSpaceDE w:val="0"/>
        <w:spacing w:after="0" w:line="240" w:lineRule="auto"/>
        <w:jc w:val="both"/>
        <w:rPr>
          <w:rFonts w:ascii="Times New Roman" w:eastAsia="Times New Roman" w:hAnsi="Times New Roman" w:cs="Times New Roman"/>
          <w:color w:val="000000"/>
          <w:sz w:val="24"/>
          <w:szCs w:val="24"/>
        </w:rPr>
      </w:pPr>
    </w:p>
    <w:p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Poza statutowymi organami Stowarzyszenie LGD Bory Dolnośląskie posiada własne biuro zlokalizowane w Iłowej przy ul. Żeromskiego 25, które wynajmuje od Zakładu Gospodarki Komunalnej i Mieszkaniowej w Iłowej. Biuro stowarzyszenia jest równocześnie jego siedzibą. Opis warunków technicznych i lokalowych znajduję się w poniższej tabeli.</w:t>
      </w: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spacing w:after="0" w:line="240" w:lineRule="auto"/>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2534"/>
        <w:gridCol w:w="7296"/>
      </w:tblGrid>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Powierzchnia biura:</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pPr>
            <w:r>
              <w:rPr>
                <w:rFonts w:ascii="Times New Roman" w:eastAsia="Times New Roman" w:hAnsi="Times New Roman" w:cs="Times New Roman"/>
                <w:color w:val="000000"/>
              </w:rPr>
              <w:t>52,32  m</w:t>
            </w:r>
            <w:r>
              <w:rPr>
                <w:rFonts w:ascii="Times New Roman" w:eastAsia="Times New Roman" w:hAnsi="Times New Roman" w:cs="Times New Roman"/>
                <w:color w:val="000000"/>
                <w:vertAlign w:val="superscript"/>
              </w:rPr>
              <w:t>2</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pomieszczeń:</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pPr>
            <w:r>
              <w:rPr>
                <w:rFonts w:ascii="Times New Roman" w:eastAsia="Times New Roman" w:hAnsi="Times New Roman" w:cs="Times New Roman"/>
                <w:color w:val="000000"/>
              </w:rPr>
              <w:t xml:space="preserve">2 biurowe ( 27,62 m²), 1 sala szkoleniowa (24,70 m²), </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stanowisk pracy:</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pPr>
            <w:r>
              <w:rPr>
                <w:rFonts w:ascii="Times New Roman" w:eastAsia="Times New Roman" w:hAnsi="Times New Roman" w:cs="Times New Roman"/>
                <w:color w:val="000000"/>
              </w:rPr>
              <w:t>3 docelowo 4</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Wydzielone miejsce na archiwum</w:t>
            </w:r>
          </w:p>
          <w:p w:rsidR="00294BD0" w:rsidRDefault="00294BD0">
            <w:pPr>
              <w:spacing w:after="0" w:line="240" w:lineRule="auto"/>
              <w:rPr>
                <w:rFonts w:ascii="Times New Roman" w:eastAsia="Times New Roman" w:hAnsi="Times New Roman" w:cs="Times New Roman"/>
                <w:color w:val="FF0000"/>
              </w:rPr>
            </w:pP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pPr>
            <w:r>
              <w:rPr>
                <w:rFonts w:ascii="Times New Roman" w:eastAsia="Times New Roman" w:hAnsi="Times New Roman" w:cs="Times New Roman"/>
                <w:color w:val="000000"/>
              </w:rPr>
              <w:t xml:space="preserve">Opis: jedno z pomieszczeń </w:t>
            </w:r>
            <w:r>
              <w:rPr>
                <w:rFonts w:ascii="Times New Roman" w:eastAsia="Times New Roman" w:hAnsi="Times New Roman" w:cs="Times New Roman"/>
              </w:rPr>
              <w:t>biurowych o pow. (25 m²) przeznaczone będzie do zorganizowania w nim archiwum. Wyposażone zostanie w dużą szafę zamykaną na klucz, w której będą przechowywane dokumenty. Będzie to jednocześnie wydzielone pomieszczenie do obsługi beneficjentów,</w:t>
            </w:r>
            <w:r>
              <w:rPr>
                <w:rFonts w:ascii="Times New Roman" w:eastAsia="Times New Roman" w:hAnsi="Times New Roman" w:cs="Times New Roman"/>
                <w:color w:val="000000"/>
              </w:rPr>
              <w:t xml:space="preserve"> </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Możliwość obsługi potencjalnych beneficjentów</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pPr>
            <w:r>
              <w:rPr>
                <w:rFonts w:ascii="Times New Roman" w:eastAsia="Times New Roman" w:hAnsi="Times New Roman" w:cs="Times New Roman"/>
                <w:color w:val="000000"/>
              </w:rPr>
              <w:t xml:space="preserve">Opis: w biurze wydzielone zostaną dwa osobne pomieszczenia do obsługi interesantów, </w:t>
            </w:r>
            <w:r>
              <w:rPr>
                <w:rFonts w:ascii="Times New Roman" w:eastAsia="Times New Roman" w:hAnsi="Times New Roman" w:cs="Times New Roman"/>
              </w:rPr>
              <w:t>jedno o pow. 15,0 m</w:t>
            </w:r>
            <w:r>
              <w:rPr>
                <w:rFonts w:ascii="Times New Roman" w:eastAsia="Times New Roman" w:hAnsi="Times New Roman" w:cs="Times New Roman"/>
                <w:vertAlign w:val="superscript"/>
              </w:rPr>
              <w:t>2</w:t>
            </w:r>
            <w:r>
              <w:rPr>
                <w:rFonts w:ascii="Times New Roman" w:eastAsia="Times New Roman" w:hAnsi="Times New Roman" w:cs="Times New Roman"/>
              </w:rPr>
              <w:t>,</w:t>
            </w:r>
            <w:r>
              <w:rPr>
                <w:rFonts w:ascii="Times New Roman" w:eastAsia="Times New Roman" w:hAnsi="Times New Roman" w:cs="Times New Roman"/>
                <w:color w:val="000000"/>
              </w:rPr>
              <w:t xml:space="preserve"> wyposażone w biurko, sprzęt komputerowy z dostępem do internetu i telefon oraz drugie o powierzchni 25,0 </w:t>
            </w:r>
            <w:r>
              <w:rPr>
                <w:rFonts w:ascii="Times New Roman" w:eastAsia="Times New Roman" w:hAnsi="Times New Roman" w:cs="Times New Roman"/>
              </w:rPr>
              <w:t>m</w:t>
            </w:r>
            <w:r>
              <w:rPr>
                <w:rFonts w:ascii="Times New Roman" w:eastAsia="Times New Roman" w:hAnsi="Times New Roman" w:cs="Times New Roman"/>
                <w:vertAlign w:val="superscript"/>
              </w:rPr>
              <w:t>2</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Dostęp do Internetu:</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pPr>
            <w:r>
              <w:rPr>
                <w:rFonts w:ascii="Times New Roman" w:eastAsia="Times New Roman" w:hAnsi="Times New Roman" w:cs="Times New Roman"/>
                <w:color w:val="000000"/>
              </w:rPr>
              <w:t>Stały dostęp do Internetu bezprzewodowego dzięki wykorzystaniu liveboxa. Umożliwia to rozprowadzenie sieć komputerowej na wiele stanowisk</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Dostępny sprzęt biurowy:</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komputer stacjonarny 1 zestaw,</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laptopy 3 szt.</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rzutnik multimedialny z ekranem,</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urządzenie wielofunkcyjne (kserokopiarka z drukarką i  skanerem),</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drukarka kolorowa oraz skaner z formatem A4,</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telefon z faksem,</w:t>
            </w: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aparat fotograficzny,</w:t>
            </w:r>
          </w:p>
          <w:p w:rsidR="00294BD0" w:rsidRDefault="00294BD0">
            <w:pPr>
              <w:spacing w:after="0" w:line="240" w:lineRule="auto"/>
            </w:pPr>
            <w:r>
              <w:rPr>
                <w:rFonts w:ascii="Times New Roman" w:eastAsia="Times New Roman" w:hAnsi="Times New Roman" w:cs="Times New Roman"/>
                <w:color w:val="000000"/>
              </w:rPr>
              <w:t>- meble biurowe.</w:t>
            </w:r>
          </w:p>
        </w:tc>
      </w:tr>
      <w:tr w:rsidR="00294BD0">
        <w:tc>
          <w:tcPr>
            <w:tcW w:w="2534" w:type="dxa"/>
            <w:tcBorders>
              <w:top w:val="single" w:sz="4" w:space="0" w:color="000000"/>
              <w:left w:val="single" w:sz="4" w:space="0" w:color="000000"/>
              <w:bottom w:val="single" w:sz="4" w:space="0" w:color="000000"/>
            </w:tcBorders>
            <w:shd w:val="clear" w:color="auto" w:fill="CCCCCC"/>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Dokładne dane teleadresowe:</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68-120 Iłowa ul. Żeromskiego 25</w:t>
            </w:r>
          </w:p>
          <w:p w:rsidR="00294BD0" w:rsidRDefault="00294BD0">
            <w:pPr>
              <w:spacing w:after="0" w:line="240" w:lineRule="auto"/>
              <w:rPr>
                <w:rFonts w:ascii="Times New Roman" w:eastAsia="Times New Roman" w:hAnsi="Times New Roman" w:cs="Times New Roman"/>
                <w:color w:val="000000"/>
                <w:lang w:val="de-DE"/>
              </w:rPr>
            </w:pPr>
            <w:r>
              <w:rPr>
                <w:rFonts w:ascii="Times New Roman" w:eastAsia="Times New Roman" w:hAnsi="Times New Roman" w:cs="Times New Roman"/>
                <w:color w:val="000000"/>
              </w:rPr>
              <w:t xml:space="preserve"> tel/faks 68 377 47 17</w:t>
            </w:r>
          </w:p>
          <w:p w:rsidR="00294BD0" w:rsidRDefault="00294BD0">
            <w:pPr>
              <w:spacing w:after="0" w:line="240" w:lineRule="auto"/>
            </w:pPr>
            <w:r>
              <w:rPr>
                <w:rFonts w:ascii="Times New Roman" w:eastAsia="Times New Roman" w:hAnsi="Times New Roman" w:cs="Times New Roman"/>
                <w:color w:val="000000"/>
                <w:lang w:val="de-DE"/>
              </w:rPr>
              <w:t xml:space="preserve">e-mail: </w:t>
            </w:r>
            <w:r>
              <w:rPr>
                <w:rFonts w:ascii="Times New Roman" w:hAnsi="Times New Roman" w:cs="Times New Roman"/>
              </w:rPr>
              <w:t>biuro@bory.org.pl</w:t>
            </w:r>
          </w:p>
          <w:p w:rsidR="00294BD0" w:rsidRDefault="00294BD0">
            <w:pPr>
              <w:spacing w:after="0" w:line="240" w:lineRule="auto"/>
            </w:pPr>
            <w:hyperlink r:id="rId13" w:history="1">
              <w:r>
                <w:rPr>
                  <w:rStyle w:val="Hipercze"/>
                  <w:rFonts w:ascii="Cambria" w:eastAsia="Times New Roman" w:hAnsi="Cambria" w:cs="Cambria"/>
                  <w:lang w:val="de-DE"/>
                </w:rPr>
                <w:t>www.bory.org.pl</w:t>
              </w:r>
            </w:hyperlink>
            <w:r>
              <w:rPr>
                <w:rFonts w:ascii="Times New Roman" w:eastAsia="Times New Roman" w:hAnsi="Times New Roman" w:cs="Times New Roman"/>
                <w:color w:val="000000"/>
                <w:lang w:val="de-DE"/>
              </w:rPr>
              <w:t xml:space="preserve"> </w:t>
            </w:r>
          </w:p>
        </w:tc>
      </w:tr>
    </w:tbl>
    <w:p w:rsidR="00294BD0" w:rsidRDefault="00294BD0">
      <w:pP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rPr>
        <w:t>(Tabela nr 4 - Warunki techniczne i lokalowe biura. Źródło – dane własne)</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Stowarzyszenie zatrudniać będzie czterech pracowników w oparciu o umowę o pracę (łącznie trzy i pół etatu), ponadto na podstawie umów cywilnoprawnych będą zatrudniani doradcy oraz szkoleniowcy. Regulamin pracy biura Stowarzyszenia LGD Bory Dolnośląskie zawiera zasady zatrudniania i wynagradzania pracowników, uprawnienia dyrektora biura, godziny pracy biura, zasady udostępniania informacji będących w dyspozycji LGD, procedurę naboru pracowników, opis stanowisk oraz zasady świadczenia doradztwa wraz z metodą oceny efektywności świadczonego doradztwa.</w:t>
      </w:r>
    </w:p>
    <w:p w:rsidR="00294BD0" w:rsidRDefault="00294BD0">
      <w:pPr>
        <w:spacing w:after="0" w:line="240" w:lineRule="auto"/>
        <w:ind w:left="284"/>
        <w:jc w:val="both"/>
        <w:rPr>
          <w:rFonts w:ascii="Times New Roman" w:eastAsia="Times New Roman" w:hAnsi="Times New Roman" w:cs="Times New Roman"/>
          <w:color w:val="000000"/>
          <w:sz w:val="24"/>
          <w:szCs w:val="24"/>
        </w:rPr>
      </w:pP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rPr>
        <w:t>Wolontariat i staże w biurze LGD</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Dla rozwoju kapitału ludzkiego na obszarze działania Stowarzyszenia, Biuro Stowarzyszenia planuje korzystać – w ramach swoich możliwości organizacyjnych – z pomocy wolontariuszy. Dopuszcza się możliwość wolontariatu stałego (np. przy obsłudze strony internetowej LGD) i okazjonalnego (np. przy organizowanych przedsięwzięciach informacyjnych, promocyjnych). </w:t>
      </w:r>
    </w:p>
    <w:p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Stowarzyszenie – w miarę potrzeb i możliwości – w porozumieniu z Powiatowymi Urzędami Pracy, organizuje staże i praktyki w Biurze Stowarzyszenia.</w:t>
      </w:r>
    </w:p>
    <w:p w:rsidR="00294BD0" w:rsidRDefault="00294BD0">
      <w:pPr>
        <w:spacing w:after="0" w:line="240" w:lineRule="auto"/>
        <w:jc w:val="both"/>
        <w:rPr>
          <w:rFonts w:ascii="Times New Roman" w:eastAsia="Times New Roman" w:hAnsi="Times New Roman" w:cs="Times New Roman"/>
          <w:color w:val="000000"/>
          <w:sz w:val="24"/>
          <w:szCs w:val="24"/>
        </w:rPr>
      </w:pPr>
    </w:p>
    <w:p w:rsidR="00294BD0" w:rsidRDefault="00294BD0">
      <w:pPr>
        <w:keepNext/>
        <w:numPr>
          <w:ilvl w:val="0"/>
          <w:numId w:val="4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bCs/>
          <w:color w:val="000000"/>
          <w:kern w:val="1"/>
        </w:rPr>
        <w:t>Opis składu organu decyzyjnego</w:t>
      </w:r>
    </w:p>
    <w:p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rPr>
        <w:t>W dniu 12 października 2015r. w drodze uchwały Walnego Zebrania Członków Stowarzyszenia LGD Bory Dolnośląskie wybrano skład organu decyzyjnego tj. Rady Stowarzyszenia. W jej skład weszło 15 członków reprezentujących wszystkie sektory oraz przedstawiciele mieszkańców. Reprezentatywność poszczególnych organów rozłożono w sposób równomierny, dbając o to by każdemu z nich przypadła równa liczba reprezentantów, zapobiegając tym samym dominacji jakiejkolwiek grupy interesu. Kwestia ta szczegółowo została uregulowana poprzez wprowadzenie stosownych zapisów w Statucie Stowarzyszenia i Regulaminie pracy Rady. Sektor publiczny ograniczono do poziomu 26,66% przy czym jeden z członków, który złożył deklaracje z ramienia sektora społecznego zaliczony został również do sektora publicznego z racji zajmowanego stanowiska Dyrektora Domu Kultury. Poniższa tabela obrazuje skład Rady Stowarzyszenia.</w:t>
      </w:r>
    </w:p>
    <w:tbl>
      <w:tblPr>
        <w:tblW w:w="0" w:type="auto"/>
        <w:tblInd w:w="108" w:type="dxa"/>
        <w:tblLayout w:type="fixed"/>
        <w:tblLook w:val="0000" w:firstRow="0" w:lastRow="0" w:firstColumn="0" w:lastColumn="0" w:noHBand="0" w:noVBand="0"/>
      </w:tblPr>
      <w:tblGrid>
        <w:gridCol w:w="855"/>
        <w:gridCol w:w="5165"/>
        <w:gridCol w:w="3190"/>
      </w:tblGrid>
      <w:tr w:rsidR="00294BD0">
        <w:tc>
          <w:tcPr>
            <w:tcW w:w="85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b/>
                <w:i/>
              </w:rPr>
              <w:t>L.p.</w:t>
            </w:r>
          </w:p>
        </w:tc>
        <w:tc>
          <w:tcPr>
            <w:tcW w:w="516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b/>
                <w:i/>
              </w:rPr>
              <w:t>Imię i nazwisko</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ind w:left="284"/>
              <w:jc w:val="both"/>
            </w:pPr>
            <w:r>
              <w:rPr>
                <w:rFonts w:ascii="Times New Roman" w:eastAsia="Times New Roman" w:hAnsi="Times New Roman" w:cs="Times New Roman"/>
                <w:b/>
                <w:i/>
              </w:rPr>
              <w:t>Sektor</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Ryszard Klisowski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Publiczny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2.</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Stanisław Mikołajczyk</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Publiczny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3.</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Agnieszka Antosz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Publiczny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4.</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Joanna Gajdzińska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Publiczno-Społeczny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5.</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Wanda Abram</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Społeczny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6.</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Tadeusz Błach</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Społeczny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7.</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Leokadia Brudzińska-Dobrowolska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Społeczny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8.</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Paweł Czapliński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Społeczny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9.</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Magdalena Piasecka – Ludwin</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Gospodarczy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10.</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Jolanta Strojna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Gospodarczy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11.</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Roman Lichwiarz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Gospodarczy</w:t>
            </w:r>
          </w:p>
        </w:tc>
      </w:tr>
      <w:tr w:rsidR="00294BD0">
        <w:trPr>
          <w:trHeight w:val="260"/>
        </w:trPr>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12.</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Jarosław Biesiadecki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Gospodarczy</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13.</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Ewa Grzelak</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Przedstawiciel mieszkańców</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14.</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Krystyna Michałów</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Przedstawiciel mieszkańców</w:t>
            </w:r>
          </w:p>
        </w:tc>
      </w:tr>
      <w:tr w:rsidR="00294BD0">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15.</w:t>
            </w:r>
          </w:p>
        </w:tc>
        <w:tc>
          <w:tcPr>
            <w:tcW w:w="51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Jadwiga Kuternozińska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ind w:left="284"/>
              <w:jc w:val="both"/>
            </w:pPr>
            <w:r>
              <w:rPr>
                <w:rFonts w:ascii="Times New Roman" w:eastAsia="Times New Roman" w:hAnsi="Times New Roman" w:cs="Times New Roman"/>
                <w:i/>
              </w:rPr>
              <w:t>Przedstawiciel mieszkańców</w:t>
            </w:r>
          </w:p>
        </w:tc>
      </w:tr>
    </w:tbl>
    <w:p w:rsidR="00294BD0" w:rsidRDefault="00294BD0">
      <w:pPr>
        <w:spacing w:after="0" w:line="240" w:lineRule="auto"/>
        <w:jc w:val="both"/>
        <w:rPr>
          <w:rFonts w:ascii="Times New Roman" w:eastAsia="Times New Roman" w:hAnsi="Times New Roman" w:cs="Times New Roman"/>
          <w:i/>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i/>
        </w:rPr>
        <w:t xml:space="preserve">    (Tabela nr 5 – Skład organu decyzyjnego Stowarzyszenia LGD Bory Dolnośląskie. Źródło – dane własne)</w:t>
      </w:r>
    </w:p>
    <w:p w:rsidR="00294BD0" w:rsidRDefault="00294BD0">
      <w:pPr>
        <w:spacing w:after="0" w:line="240" w:lineRule="auto"/>
        <w:ind w:left="284"/>
        <w:jc w:val="both"/>
        <w:rPr>
          <w:rFonts w:ascii="Times New Roman" w:eastAsia="Times New Roman" w:hAnsi="Times New Roman" w:cs="Times New Roman"/>
        </w:rPr>
      </w:pPr>
    </w:p>
    <w:p w:rsidR="00294BD0" w:rsidRDefault="00294BD0" w:rsidP="002948CB">
      <w:pPr>
        <w:keepNext/>
        <w:spacing w:after="0" w:line="240" w:lineRule="auto"/>
        <w:ind w:left="360"/>
        <w:jc w:val="both"/>
        <w:rPr>
          <w:rFonts w:ascii="Times New Roman" w:hAnsi="Times New Roman" w:cs="Times New Roman"/>
        </w:rPr>
      </w:pPr>
      <w:r>
        <w:rPr>
          <w:rFonts w:ascii="Times New Roman" w:eastAsia="Times New Roman" w:hAnsi="Times New Roman" w:cs="Times New Roman"/>
          <w:b/>
          <w:bCs/>
          <w:color w:val="000000"/>
          <w:kern w:val="1"/>
        </w:rPr>
        <w:t>Zwięzła charakterystyka rozwiązań stosowanych w procesie decyzyjnym</w:t>
      </w: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Organem decyzyjnym odpowiedzialnym za ocenę wniosków jest Rada Stowarzyszenia. Jej skład opiera się w większości na osobach, którzy pełnili funkcję członka Rady Stowarzyszenia w okresie 2007-2013 (Ryszard Klisowski, Agnieszka Antosz, Joanna Gajdzińska, Tadeusz Błach, Lena Brudzińska, Magdalena Piasecka Ludwin, Jolanta Strojna, Roman Lichwiarz i Krystyna Michałów). Posiadają tym samym doświadczenie w zakresie oceny wniosków.</w:t>
      </w: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W celu zapewnienia transparentności i przejrzystości w wyborze operacji wprowadzono kilka rozwiązań:</w:t>
      </w:r>
    </w:p>
    <w:p w:rsidR="00294BD0" w:rsidRDefault="00294BD0">
      <w:pPr>
        <w:numPr>
          <w:ilvl w:val="4"/>
          <w:numId w:val="54"/>
        </w:numPr>
        <w:tabs>
          <w:tab w:val="left" w:pos="567"/>
          <w:tab w:val="left" w:pos="1134"/>
        </w:tabs>
        <w:spacing w:after="0" w:line="240" w:lineRule="auto"/>
        <w:ind w:left="1134" w:hanging="283"/>
        <w:jc w:val="both"/>
        <w:rPr>
          <w:rFonts w:ascii="Times New Roman" w:hAnsi="Times New Roman" w:cs="Times New Roman"/>
        </w:rPr>
      </w:pPr>
      <w:r>
        <w:rPr>
          <w:rFonts w:ascii="Times New Roman" w:hAnsi="Times New Roman" w:cs="Times New Roman"/>
        </w:rPr>
        <w:t>Określono mierzalne i przejrzyste Kryteria Wyboru Operacji oraz Kryteria Wyboru Grantów, a w przypadku kryteriów jakościowych opisano podejście do ich oceny;</w:t>
      </w:r>
    </w:p>
    <w:p w:rsidR="00294BD0" w:rsidRDefault="00294BD0" w:rsidP="002948CB">
      <w:pPr>
        <w:tabs>
          <w:tab w:val="left" w:pos="567"/>
        </w:tabs>
        <w:spacing w:after="0" w:line="240" w:lineRule="auto"/>
        <w:ind w:left="1134"/>
        <w:jc w:val="both"/>
        <w:rPr>
          <w:rFonts w:ascii="Times New Roman" w:hAnsi="Times New Roman" w:cs="Times New Roman"/>
          <w:color w:val="000000"/>
        </w:rPr>
      </w:pPr>
      <w:r>
        <w:rPr>
          <w:rFonts w:ascii="Times New Roman" w:hAnsi="Times New Roman" w:cs="Times New Roman"/>
        </w:rPr>
        <w:t>Zagwarantowano stosowanie tych samych Kryteriów Wyboru Operacji w całym procesie wyboru w ramach danego naboru;</w:t>
      </w:r>
    </w:p>
    <w:p w:rsidR="00294BD0" w:rsidRDefault="00294BD0" w:rsidP="00C403FF">
      <w:pPr>
        <w:tabs>
          <w:tab w:val="left" w:pos="567"/>
        </w:tabs>
        <w:spacing w:after="0" w:line="240" w:lineRule="auto"/>
        <w:ind w:left="1134"/>
        <w:rPr>
          <w:rFonts w:ascii="Times New Roman" w:hAnsi="Times New Roman" w:cs="Times New Roman"/>
          <w:color w:val="000000"/>
        </w:rPr>
      </w:pPr>
      <w:r>
        <w:rPr>
          <w:rFonts w:ascii="Times New Roman" w:hAnsi="Times New Roman" w:cs="Times New Roman"/>
          <w:color w:val="000000"/>
        </w:rPr>
        <w:t>Wprowadzono papierowe karty oceny operacji,</w:t>
      </w:r>
    </w:p>
    <w:p w:rsidR="00294BD0" w:rsidRDefault="00294BD0" w:rsidP="002948CB">
      <w:pPr>
        <w:numPr>
          <w:ilvl w:val="4"/>
          <w:numId w:val="54"/>
        </w:numPr>
        <w:tabs>
          <w:tab w:val="left" w:pos="567"/>
          <w:tab w:val="left" w:pos="1134"/>
        </w:tabs>
        <w:spacing w:after="0" w:line="240" w:lineRule="auto"/>
        <w:ind w:left="1134" w:hanging="283"/>
        <w:rPr>
          <w:rFonts w:ascii="Times New Roman" w:hAnsi="Times New Roman" w:cs="Times New Roman"/>
        </w:rPr>
      </w:pPr>
      <w:r>
        <w:rPr>
          <w:rFonts w:ascii="Times New Roman" w:hAnsi="Times New Roman" w:cs="Times New Roman"/>
          <w:color w:val="000000"/>
        </w:rPr>
        <w:t>Przyjmowanie wniosków w drodze uchwał Rady,</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Zapewniono zachowanie parytetu w poszczególnych głosowaniach organu decyzyjnego gwarantującego, że co najmniej 50% głosów podczas dokonywania wyboru operacji nie pochodzi od przedstawicieli sektora publicznego,</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Założono prowadzenie rejestru interesów członków Rady;</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Opracowano procedury wyboru wniosków/grantów oraz opisano sposób udostępnia ich do wiadomości publicznej,</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W procedurach wyboru operacji/grantów opisano sposoby oceny zgodności operacji z LSR i wyboru operacji do dofinansowania zapobiegające rozbieżnym ocenom tych samych kryteriów, przyznawaniu błędnej punktacji itp.,</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Określono zadania i zakres odpowiedzialności osób/organów biorących udział w ocenie operacji,</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Opisano zasady wnoszenia i rozpatrywania odwołań/protestu od decyzji organu decyzyjnego</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Upowszechnianie protokołów z oceny wraz z informacją o wykluczeniu z oceny poszczególnych członków Rady;</w:t>
      </w:r>
    </w:p>
    <w:p w:rsidR="00294BD0" w:rsidRDefault="00294BD0" w:rsidP="002948CB">
      <w:pPr>
        <w:numPr>
          <w:ilvl w:val="4"/>
          <w:numId w:val="54"/>
        </w:numPr>
        <w:tabs>
          <w:tab w:val="left" w:pos="567"/>
          <w:tab w:val="left" w:pos="1134"/>
        </w:tabs>
        <w:spacing w:after="0" w:line="240" w:lineRule="auto"/>
        <w:ind w:left="1134" w:hanging="283"/>
        <w:rPr>
          <w:rFonts w:ascii="Times New Roman" w:hAnsi="Times New Roman" w:cs="Times New Roman"/>
        </w:rPr>
      </w:pPr>
      <w:r>
        <w:rPr>
          <w:rFonts w:ascii="Times New Roman" w:hAnsi="Times New Roman" w:cs="Times New Roman"/>
        </w:rPr>
        <w:t>Opracowano Regulamin Pracy Rady;</w:t>
      </w:r>
    </w:p>
    <w:p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Opracowano plan szkolenia członków Rady;</w:t>
      </w:r>
    </w:p>
    <w:p w:rsidR="00294BD0" w:rsidRDefault="00294BD0">
      <w:pPr>
        <w:spacing w:after="0" w:line="240" w:lineRule="auto"/>
        <w:ind w:left="567"/>
        <w:jc w:val="both"/>
        <w:rPr>
          <w:rFonts w:ascii="Times New Roman" w:hAnsi="Times New Roman" w:cs="Times New Roman"/>
        </w:rPr>
      </w:pPr>
    </w:p>
    <w:p w:rsidR="00294BD0" w:rsidRDefault="00294BD0" w:rsidP="002948CB">
      <w:pPr>
        <w:keepNext/>
        <w:spacing w:after="0" w:line="240" w:lineRule="auto"/>
        <w:ind w:left="360"/>
        <w:jc w:val="both"/>
        <w:rPr>
          <w:rFonts w:ascii="Times New Roman" w:hAnsi="Times New Roman" w:cs="Times New Roman"/>
        </w:rPr>
      </w:pPr>
      <w:r>
        <w:rPr>
          <w:rFonts w:ascii="Times New Roman" w:eastAsia="Times New Roman" w:hAnsi="Times New Roman" w:cs="Times New Roman"/>
          <w:b/>
          <w:bCs/>
          <w:color w:val="000000"/>
          <w:kern w:val="1"/>
        </w:rPr>
        <w:t>Wskazanie dokumentów regulujących funkcjonowanie LGD</w:t>
      </w: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Podstawowe dokumenty regulujące funkcjonowanie LGD to:</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Statut,</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Rady Stowarzyszenia;</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 xml:space="preserve">Procedura wyboru operacji </w:t>
      </w:r>
      <w:r>
        <w:rPr>
          <w:rFonts w:ascii="Times New Roman" w:eastAsia="Times New Roman" w:hAnsi="Times New Roman" w:cs="Times New Roman"/>
          <w:bCs/>
          <w:sz w:val="24"/>
          <w:szCs w:val="24"/>
        </w:rPr>
        <w:t>realizowane przez podmioty inne niż LGD</w:t>
      </w:r>
      <w:r>
        <w:rPr>
          <w:rFonts w:ascii="Times New Roman" w:hAnsi="Times New Roman" w:cs="Times New Roman"/>
        </w:rPr>
        <w:t>,</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Procedura wyboru projektów grantowych;</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Procedura wykluczenia członka Rady z oceny,</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Plan szkoleń członków Rady;</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Biura;</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Walnego Zebrania Członków Stowarzyszenia;</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Zarządu Stowarzyszenia;</w:t>
      </w:r>
    </w:p>
    <w:p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Komisji Rewizyjnej Stowarzyszenia;</w:t>
      </w:r>
    </w:p>
    <w:p w:rsidR="00294BD0" w:rsidRDefault="00294BD0">
      <w:pPr>
        <w:spacing w:after="0" w:line="240" w:lineRule="auto"/>
        <w:ind w:left="851"/>
        <w:jc w:val="both"/>
        <w:rPr>
          <w:rFonts w:ascii="Times New Roman" w:hAnsi="Times New Roman" w:cs="Times New Roman"/>
        </w:rPr>
      </w:pPr>
    </w:p>
    <w:p w:rsidR="00294BD0" w:rsidRDefault="00294BD0">
      <w:pPr>
        <w:spacing w:after="0" w:line="240" w:lineRule="auto"/>
        <w:ind w:left="426"/>
        <w:jc w:val="both"/>
        <w:rPr>
          <w:rFonts w:ascii="Times New Roman" w:hAnsi="Times New Roman" w:cs="Times New Roman"/>
        </w:rPr>
      </w:pPr>
      <w:r>
        <w:rPr>
          <w:rFonts w:ascii="Times New Roman" w:hAnsi="Times New Roman" w:cs="Times New Roman"/>
        </w:rPr>
        <w:t xml:space="preserve">Statut, Kryteria Wyboru Operacji, Kryteria Wyboru Grantów oraz  Procedura wyboru operacji </w:t>
      </w:r>
      <w:r>
        <w:rPr>
          <w:rFonts w:ascii="Times New Roman" w:eastAsia="Times New Roman" w:hAnsi="Times New Roman" w:cs="Times New Roman"/>
          <w:bCs/>
          <w:sz w:val="24"/>
          <w:szCs w:val="24"/>
        </w:rPr>
        <w:t>realizowanych przez podmioty inne niż LGD, a także Procedura wyboru projektów grantowych</w:t>
      </w:r>
      <w:r>
        <w:rPr>
          <w:rFonts w:ascii="Times New Roman" w:hAnsi="Times New Roman" w:cs="Times New Roman"/>
        </w:rPr>
        <w:t xml:space="preserve"> są uchwalane i aktualizowane przez Walne Zebranie Członków Stowarzyszenia LGD Bory Dolnośląskie. Natomiast poszczególne regulaminy prac organów ich dotyczących są opracowywane, uchwalane i aktualizowane przez te organy, z tym, że do kompetencji Zarządu należy opracowanie, uchwalanie i zmienianie Regulaminu pracy Biura LGD wraz z załącznikami, tj. procedurą naboru pracowników, zasadami świadczenia doradztwa, zasadami zatrudniania i wynagradzania pracowników, opisem stanowisk i udostępnienia informacji będących w dyspozycji LGD</w:t>
      </w:r>
      <w:r>
        <w:rPr>
          <w:rFonts w:ascii="Times New Roman" w:eastAsia="Times New Roman" w:hAnsi="Times New Roman" w:cs="Times New Roman"/>
          <w:bCs/>
          <w:sz w:val="24"/>
          <w:szCs w:val="24"/>
        </w:rPr>
        <w:t>.</w:t>
      </w:r>
      <w:r>
        <w:rPr>
          <w:rFonts w:ascii="Times New Roman" w:hAnsi="Times New Roman" w:cs="Times New Roman"/>
        </w:rPr>
        <w:t xml:space="preserve"> Wyżej wymienione dokumenty regulują między innymi takie kwestie jak zasady zwoływania i organizacji posiedzeń organów, sposób powoływania organów i możliwości kandydowania do nich przez członków Stowarzyszenia, zasady w zakresie określania kworum i systemu głosowania, zasady protokołowania posiedzeń oraz szczegółowo regulują sprawy związane z wykonywaniem zadań przewidzianych dla poszczególnych organów bądź biura LGD. Opracowane regulaminy (Rady, Zarządu, Komisji Rewizyjnej i biura LGD) były poddane konsultacjom na Walnym Zebraniu Członków, a następnie udostępnione na stronie internetowej.</w:t>
      </w:r>
    </w:p>
    <w:p w:rsidR="00294BD0" w:rsidRDefault="00294BD0">
      <w:pPr>
        <w:spacing w:after="0" w:line="240" w:lineRule="auto"/>
        <w:ind w:left="567"/>
        <w:jc w:val="both"/>
        <w:rPr>
          <w:rFonts w:ascii="Times New Roman" w:hAnsi="Times New Roman" w:cs="Times New Roman"/>
        </w:rPr>
      </w:pPr>
    </w:p>
    <w:p w:rsidR="00294BD0" w:rsidRDefault="00294BD0">
      <w:pPr>
        <w:spacing w:after="0" w:line="240" w:lineRule="auto"/>
        <w:rPr>
          <w:rFonts w:ascii="Cambria" w:eastAsia="Times New Roman" w:hAnsi="Cambria" w:cs="Cambria"/>
          <w:sz w:val="24"/>
          <w:szCs w:val="24"/>
        </w:rPr>
      </w:pPr>
      <w:r>
        <w:rPr>
          <w:rFonts w:ascii="Times New Roman" w:eastAsia="Times New Roman" w:hAnsi="Times New Roman" w:cs="Times New Roman"/>
          <w:b/>
          <w:color w:val="2E74B5"/>
          <w:u w:val="single"/>
        </w:rPr>
        <w:t>Rozdział II. Partycypacyjny charakter LSR</w:t>
      </w:r>
    </w:p>
    <w:p w:rsidR="00294BD0" w:rsidRDefault="00294BD0">
      <w:pPr>
        <w:spacing w:after="0" w:line="240" w:lineRule="auto"/>
        <w:rPr>
          <w:rFonts w:ascii="Cambria" w:eastAsia="Times New Roman" w:hAnsi="Cambria" w:cs="Cambria"/>
          <w:sz w:val="24"/>
          <w:szCs w:val="24"/>
        </w:rPr>
      </w:pP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Budowa Strategii Rozwoju Lokalnego Kierowanego przez Społeczność została podzielona na 7 etapów tj.:</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diagnozą obszaru,</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przeprowadzeniem analizy SWOT,</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celów Strategii oraz jej wskaźników,</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określeniem kształtu budżetu,</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Planu Komunikacyjnego,</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Planu Działania,</w:t>
      </w:r>
    </w:p>
    <w:p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określeniem zasad monitoringi i ewaluacji Strategii.</w:t>
      </w:r>
    </w:p>
    <w:p w:rsidR="00294BD0" w:rsidRDefault="00294BD0" w:rsidP="002948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Realizacja każdego z etapów zakładała wykorzystanie odpowiednich i skutecznych narzędzi partycypacyjnych. Ich liczba uzależniona była od potrzeb, rodzaju prac jego zakresu i możliwości samej LGD. Zastosowane narzędzia pozwalały na czynny udział przedstawicieli sektora publicznego, gospodarczego, społecznego oraz mieszkańców. W proces planowania strategicznego zaangażowani byli przede wszystkim lokalni liderzy, którzy najlepiej znają własne środowisko, w którym funkcjonują, a ich udział gwarantował dotarcie do jak najszerszego kręgu mieszkańców. Wykorzystane narzędzia to:</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otwartych, warsztatowych spotkań z mieszkańcami,</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Przeprowadzenie badań ankietowych,</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Zaproszenie mieszkańców do składania opinii,</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Zasięgnięcie opinii eksperta,</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Praca powołanego na potrzeby opracowania Strategii Zespołu Roboczego,</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Dnia Otwartego,</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indywidualnych konsultacji telefonicznych z mieszkańcami,</w:t>
      </w:r>
    </w:p>
    <w:p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Analiza raportu ewaluacyjnego </w:t>
      </w:r>
    </w:p>
    <w:p w:rsidR="00294BD0" w:rsidRDefault="00294BD0">
      <w:pPr>
        <w:spacing w:after="0" w:line="240" w:lineRule="auto"/>
        <w:jc w:val="both"/>
        <w:rPr>
          <w:rFonts w:ascii="Times New Roman" w:eastAsia="Times New Roman" w:hAnsi="Times New Roman" w:cs="Times New Roman"/>
        </w:rPr>
      </w:pPr>
    </w:p>
    <w:p w:rsidR="00294BD0" w:rsidRDefault="00294BD0" w:rsidP="002948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Owocem tak szeroko prowadzonych prac jest przyjęta strategia, która odzwierciedla potrzeby mieszkańców, bazuje na własnym potencjale kulturowym i przyrodniczym. Wykorzystuje własny dorobek a także możliwości zarówno sektora gospodarczego, jak i samorządowego i społecznego. Zaproponowane cele, przyjęte wskaźniki, harmonogram ich osiągania, przyjęty budżet to wynik wielotygodniowych prac, wynik różnych kompromisów ale i pewien drogowskaz i propozycja działań rozwoju całego obszaru jakim są Bory Dolnośląskie.</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Poniższa tabela w sposób bardzo szczegółowy opisuje poszczególne etapy prac nad Strategią, narzędzia jakie w tym czasie zostały wykorzystane oraz wyniki propozycji zgłaszanym zarówno przez samych mieszkańców jak i zewnętrznego eksperta.</w:t>
      </w:r>
    </w:p>
    <w:p w:rsidR="00294BD0" w:rsidRDefault="00294BD0">
      <w:pPr>
        <w:sectPr w:rsidR="00294BD0">
          <w:footerReference w:type="default" r:id="rId14"/>
          <w:pgSz w:w="11906" w:h="16838"/>
          <w:pgMar w:top="720" w:right="720" w:bottom="765" w:left="720" w:header="708" w:footer="709" w:gutter="0"/>
          <w:cols w:space="708"/>
          <w:docGrid w:linePitch="600" w:charSpace="36864"/>
        </w:sectPr>
      </w:pPr>
    </w:p>
    <w:p w:rsidR="00294BD0" w:rsidRDefault="00294BD0" w:rsidP="00C403FF">
      <w:pPr>
        <w:spacing w:after="0" w:line="240" w:lineRule="auto"/>
        <w:jc w:val="both"/>
        <w:rPr>
          <w:rFonts w:ascii="Times New Roman" w:eastAsia="Times New Roman" w:hAnsi="Times New Roman" w:cs="Times New Roman"/>
        </w:rPr>
      </w:pPr>
    </w:p>
    <w:tbl>
      <w:tblPr>
        <w:tblW w:w="0" w:type="auto"/>
        <w:tblInd w:w="-15" w:type="dxa"/>
        <w:tblLayout w:type="fixed"/>
        <w:tblLook w:val="0000" w:firstRow="0" w:lastRow="0" w:firstColumn="0" w:lastColumn="0" w:noHBand="0" w:noVBand="0"/>
      </w:tblPr>
      <w:tblGrid>
        <w:gridCol w:w="1838"/>
        <w:gridCol w:w="3969"/>
        <w:gridCol w:w="5245"/>
        <w:gridCol w:w="3857"/>
      </w:tblGrid>
      <w:tr w:rsidR="00294BD0">
        <w:tc>
          <w:tcPr>
            <w:tcW w:w="1838" w:type="dxa"/>
            <w:tcBorders>
              <w:top w:val="single" w:sz="4" w:space="0" w:color="000000"/>
              <w:left w:val="single" w:sz="4" w:space="0" w:color="000000"/>
              <w:bottom w:val="single" w:sz="4" w:space="0" w:color="000000"/>
            </w:tcBorders>
            <w:shd w:val="clear" w:color="auto" w:fill="F2F2F2"/>
          </w:tcPr>
          <w:p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Etap tworzenia Strategii</w:t>
            </w:r>
          </w:p>
        </w:tc>
        <w:tc>
          <w:tcPr>
            <w:tcW w:w="3969" w:type="dxa"/>
            <w:tcBorders>
              <w:top w:val="single" w:sz="4" w:space="0" w:color="000000"/>
              <w:left w:val="single" w:sz="4" w:space="0" w:color="000000"/>
              <w:bottom w:val="single" w:sz="4" w:space="0" w:color="000000"/>
            </w:tcBorders>
            <w:shd w:val="clear" w:color="auto" w:fill="F2F2F2"/>
          </w:tcPr>
          <w:p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Narzędzia partycypacyjne</w:t>
            </w:r>
          </w:p>
        </w:tc>
        <w:tc>
          <w:tcPr>
            <w:tcW w:w="5245" w:type="dxa"/>
            <w:tcBorders>
              <w:top w:val="single" w:sz="4" w:space="0" w:color="000000"/>
              <w:left w:val="single" w:sz="4" w:space="0" w:color="000000"/>
              <w:bottom w:val="single" w:sz="4" w:space="0" w:color="000000"/>
            </w:tcBorders>
            <w:shd w:val="clear" w:color="auto" w:fill="F2F2F2"/>
          </w:tcPr>
          <w:p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Efekt</w:t>
            </w:r>
          </w:p>
        </w:tc>
        <w:tc>
          <w:tcPr>
            <w:tcW w:w="3857" w:type="dxa"/>
            <w:tcBorders>
              <w:top w:val="single" w:sz="4" w:space="0" w:color="000000"/>
              <w:left w:val="single" w:sz="4" w:space="0" w:color="000000"/>
              <w:bottom w:val="single" w:sz="4" w:space="0" w:color="000000"/>
              <w:right w:val="single" w:sz="4" w:space="0" w:color="000000"/>
            </w:tcBorders>
            <w:shd w:val="clear" w:color="auto" w:fill="F2F2F2"/>
          </w:tcPr>
          <w:p w:rsidR="00294BD0" w:rsidRDefault="00294BD0">
            <w:pPr>
              <w:spacing w:line="240" w:lineRule="auto"/>
              <w:jc w:val="center"/>
            </w:pPr>
            <w:r>
              <w:rPr>
                <w:rFonts w:ascii="Times New Roman" w:eastAsia="Times New Roman" w:hAnsi="Times New Roman" w:cs="Times New Roman"/>
                <w:b/>
              </w:rPr>
              <w:t>Wykorzystanie zgłaszanych uwag</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Diagnoza obszaru</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warsztatowych spotkań z mieszkańcami,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Analiza raportu ewaluacyjnego,</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2 opinii mieszkańców dotyczących uzupełnienia diagnozy obszaru w zakresie:</w:t>
            </w:r>
          </w:p>
          <w:p w:rsidR="00294BD0" w:rsidRDefault="00294BD0">
            <w:pPr>
              <w:pStyle w:val="Akapitzlist"/>
              <w:ind w:left="225"/>
              <w:rPr>
                <w:rFonts w:ascii="Times New Roman" w:hAnsi="Times New Roman"/>
                <w:sz w:val="22"/>
                <w:szCs w:val="22"/>
              </w:rPr>
            </w:pPr>
            <w:r>
              <w:rPr>
                <w:rFonts w:ascii="Times New Roman" w:hAnsi="Times New Roman"/>
                <w:sz w:val="22"/>
                <w:szCs w:val="22"/>
              </w:rPr>
              <w:t>- wyodrębnienia w pkt. 1 dwóch podpunktów</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dotyczących kapitału społecznego oraz</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potencjału demograficznego,</w:t>
            </w:r>
          </w:p>
          <w:p w:rsidR="00294BD0" w:rsidRDefault="00294BD0">
            <w:pPr>
              <w:pStyle w:val="Akapitzlist"/>
              <w:ind w:left="225"/>
              <w:rPr>
                <w:rFonts w:ascii="Times New Roman" w:hAnsi="Times New Roman"/>
                <w:sz w:val="22"/>
                <w:szCs w:val="22"/>
              </w:rPr>
            </w:pPr>
            <w:r>
              <w:rPr>
                <w:rFonts w:ascii="Times New Roman" w:hAnsi="Times New Roman"/>
                <w:sz w:val="22"/>
                <w:szCs w:val="22"/>
              </w:rPr>
              <w:t>- uzupełnienia pkt 8 o informacje na temat</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zanieczyszczenia środowiska,</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1 uwagi od eksperta dotyczących diagnozy obszaru tj.:</w:t>
            </w:r>
          </w:p>
          <w:p w:rsidR="00294BD0" w:rsidRDefault="00294BD0">
            <w:pPr>
              <w:pStyle w:val="Akapitzlist"/>
              <w:ind w:left="225"/>
              <w:rPr>
                <w:rFonts w:ascii="Times New Roman" w:hAnsi="Times New Roman"/>
                <w:sz w:val="22"/>
                <w:szCs w:val="22"/>
              </w:rPr>
            </w:pPr>
            <w:r>
              <w:rPr>
                <w:rFonts w:ascii="Times New Roman" w:hAnsi="Times New Roman"/>
                <w:sz w:val="22"/>
                <w:szCs w:val="22"/>
              </w:rPr>
              <w:t>- wykreślenie w pkt 8 obszarów chronionego</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krajobrazu jako mało istotnych z punktu</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widzenia turysty,</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Wykorzystanie w procesie diagnozy obszaru danych z raportu ewaluacyjnego.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37"/>
              </w:numPr>
              <w:ind w:left="225" w:hanging="283"/>
            </w:pPr>
            <w:r>
              <w:rPr>
                <w:rFonts w:ascii="Times New Roman" w:hAnsi="Times New Roman"/>
                <w:sz w:val="22"/>
                <w:szCs w:val="22"/>
              </w:rPr>
              <w:t>Zebrane na tym etapie opinie zgłoszone zarówno przez mieszkańców regionu jak i eksperta zostały uwzględnione przez Zespół Roboczy w całości a zmiany naniesione do Strategii.</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Analiza SWOT</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spotkań z mieszkańcami,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Analiza raportu ewaluacyjnego,</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2 opinii mieszkańców – nie zgłoszono,</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1 uwagi od eksperta dotyczącego analizy SWOT w zakresie:</w:t>
            </w:r>
          </w:p>
          <w:p w:rsidR="00294BD0" w:rsidRDefault="00294BD0">
            <w:pPr>
              <w:pStyle w:val="Akapitzlist"/>
              <w:ind w:left="225"/>
              <w:rPr>
                <w:rFonts w:ascii="Times New Roman" w:hAnsi="Times New Roman"/>
                <w:sz w:val="22"/>
                <w:szCs w:val="22"/>
              </w:rPr>
            </w:pPr>
            <w:r>
              <w:rPr>
                <w:rFonts w:ascii="Times New Roman" w:hAnsi="Times New Roman"/>
                <w:sz w:val="22"/>
                <w:szCs w:val="22"/>
              </w:rPr>
              <w:t>- usunięcia zarówno z mocnych i słabych stron</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jak i szans i zagrożeń tych elementów, które nie</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mają związku z zakresem diagnozy obszaru oraz</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wsparciem z EFRROW,</w:t>
            </w:r>
          </w:p>
          <w:p w:rsidR="00294BD0" w:rsidRDefault="00294BD0">
            <w:pPr>
              <w:pStyle w:val="Akapitzlist"/>
              <w:numPr>
                <w:ilvl w:val="0"/>
                <w:numId w:val="37"/>
              </w:numPr>
              <w:ind w:left="147" w:hanging="255"/>
              <w:rPr>
                <w:rFonts w:ascii="Times New Roman" w:hAnsi="Times New Roman"/>
                <w:sz w:val="22"/>
                <w:szCs w:val="22"/>
              </w:rPr>
            </w:pPr>
            <w:r>
              <w:rPr>
                <w:rFonts w:ascii="Times New Roman" w:hAnsi="Times New Roman"/>
                <w:sz w:val="22"/>
                <w:szCs w:val="22"/>
              </w:rPr>
              <w:t xml:space="preserve">   Wykorzystanie w procesie analizy SWOT obszaru danych z raportu ewaluacyjnego.</w:t>
            </w:r>
          </w:p>
          <w:p w:rsidR="00294BD0" w:rsidRDefault="00294BD0">
            <w:pPr>
              <w:pStyle w:val="Akapitzlist"/>
              <w:numPr>
                <w:ilvl w:val="0"/>
                <w:numId w:val="37"/>
              </w:numPr>
              <w:ind w:left="176" w:hanging="284"/>
              <w:rPr>
                <w:rFonts w:ascii="Times New Roman" w:hAnsi="Times New Roman"/>
                <w:sz w:val="22"/>
                <w:szCs w:val="22"/>
              </w:rPr>
            </w:pPr>
            <w:r>
              <w:rPr>
                <w:rFonts w:ascii="Times New Roman" w:hAnsi="Times New Roman"/>
                <w:sz w:val="22"/>
                <w:szCs w:val="22"/>
              </w:rPr>
              <w:t xml:space="preserve">   Organizacja 1 – ego posiedzenia Zespołu Roboczego w celu zamknięcia prac nad diagnozą oraz analizą SWOT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37"/>
              </w:numPr>
              <w:ind w:left="225" w:hanging="283"/>
            </w:pPr>
            <w:r>
              <w:rPr>
                <w:rFonts w:ascii="Times New Roman" w:hAnsi="Times New Roman"/>
                <w:sz w:val="22"/>
                <w:szCs w:val="22"/>
              </w:rPr>
              <w:t>Zebrana na tym etapie opinia eksperta została uwzględniona przez Zespół Roboczy a zmiany naniesione do Strategii.</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Cele i wskaźniki</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spotkań z mieszkańcami,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3 opinii mieszkańców dotyczących uzupełnienia listy produktów:</w:t>
            </w:r>
          </w:p>
          <w:p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remont boiska w</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Olbrachtowie,</w:t>
            </w:r>
          </w:p>
          <w:p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budowę placu zabaw w</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Sieniawie Żarskiej,</w:t>
            </w:r>
          </w:p>
          <w:p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budowę kolejnych miejsc</w:t>
            </w:r>
          </w:p>
          <w:p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rekreacji ruchowej na terenie Gminy Żary.</w:t>
            </w:r>
          </w:p>
          <w:p w:rsidR="00294BD0" w:rsidRDefault="00294BD0">
            <w:pPr>
              <w:pStyle w:val="Akapitzlist"/>
              <w:numPr>
                <w:ilvl w:val="0"/>
                <w:numId w:val="37"/>
              </w:numPr>
              <w:ind w:left="176" w:hanging="176"/>
              <w:rPr>
                <w:rFonts w:ascii="Times New Roman" w:hAnsi="Times New Roman"/>
                <w:sz w:val="22"/>
                <w:szCs w:val="22"/>
              </w:rPr>
            </w:pPr>
            <w:r>
              <w:rPr>
                <w:rFonts w:ascii="Times New Roman" w:hAnsi="Times New Roman"/>
                <w:sz w:val="22"/>
                <w:szCs w:val="22"/>
              </w:rPr>
              <w:t>Zebranie 1 opinii eksperta w zakresie wprowadzenia zaproponowanych zmian do tabeli z matryca logiczną</w:t>
            </w:r>
          </w:p>
          <w:p w:rsidR="00294BD0" w:rsidRDefault="00294BD0">
            <w:pPr>
              <w:pStyle w:val="Akapitzlist"/>
              <w:numPr>
                <w:ilvl w:val="0"/>
                <w:numId w:val="37"/>
              </w:numPr>
              <w:ind w:left="176" w:hanging="176"/>
              <w:rPr>
                <w:rFonts w:ascii="Times New Roman" w:hAnsi="Times New Roman"/>
                <w:sz w:val="22"/>
                <w:szCs w:val="22"/>
              </w:rPr>
            </w:pPr>
            <w:r>
              <w:rPr>
                <w:rFonts w:ascii="Times New Roman" w:hAnsi="Times New Roman"/>
                <w:sz w:val="22"/>
                <w:szCs w:val="22"/>
              </w:rPr>
              <w:t>Organizacja 2 – ego posiedzenia Zespołu Roboczego w celu zamknięcia prac nad celami i wskaźnikami,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37"/>
              </w:numPr>
              <w:ind w:left="225" w:hanging="283"/>
            </w:pPr>
            <w:r>
              <w:rPr>
                <w:rFonts w:ascii="Times New Roman" w:hAnsi="Times New Roman"/>
                <w:sz w:val="22"/>
                <w:szCs w:val="22"/>
              </w:rPr>
              <w:t>Zebrane na tym etapie opinie zgłoszone zarówno przez mieszkańców regionu jak i eksperta zostały uwzględnione przez Zespół Roboczy w całości a zmiany naniesione do Strategii.</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Budżet</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zaproponowanego planu komunikacyjnego;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3 opinii do budżetu zgłoszonych przez mieszkańców w zakresie zwiększenia dla JST puli środków,</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od eksperta – nie zebrano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3 – ciego posiedzenia Zespołu Roboczego w celu zamknięcia prac nad budżetem,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40"/>
              </w:numPr>
              <w:ind w:left="225" w:hanging="283"/>
            </w:pPr>
            <w:r>
              <w:rPr>
                <w:rFonts w:ascii="Times New Roman" w:hAnsi="Times New Roman"/>
                <w:sz w:val="22"/>
                <w:szCs w:val="22"/>
              </w:rPr>
              <w:t>Zebrane na tym etapie opinie zgłoszone głównie przez JST nie zostały uwzględnione przez Zespół Roboczy. Zaproponowany podział środków pozostał niezmieniony.</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Plan Komunikacyjny</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Dnia Otwartego,</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Otwartego Dnia w trakcie V edycji Festiwalu Kulinarnego Borów Dolnośląskich „Ale pasztet” oraz omówienie założeń do Planu Komunikacyjnego;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zaproponowanego planu komunikacyjnego;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mieszkańców dotyczącej określenia dat realizacji poszczególnych działań w ujęciu rocznym a tym samym skrócenie rozległej tabeli,</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eksperta w zakresie dostosowania Planu Komunikacyjnego do wszystkich grup docelowych określonych w Strategii.</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40"/>
              </w:numPr>
              <w:ind w:left="225" w:hanging="283"/>
            </w:pPr>
            <w:r>
              <w:rPr>
                <w:rFonts w:ascii="Times New Roman" w:hAnsi="Times New Roman"/>
                <w:sz w:val="22"/>
                <w:szCs w:val="22"/>
              </w:rPr>
              <w:t>Zebrane na tym etapie opinie zgłoszone zarówno przez mieszkańców jak i eksperta zostały przeanalizowane przez Zespół Roboczy na jego trzecim posiedzeniu.</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Plan Działania</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Dnia Otwartego</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Otwartego Dnia w trakcie V edycji Festiwalu Kulinarnego Borów Dolnośląskich „Ale pasztet” oraz omówienie założeń do Planu Działania z grupą</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Planu Działania</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mieszkańców – nie zebrano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eksperta w zakresie konieczności ujednolicenia wskazanych i opisanych wcześniej wskaźników produktu z tablicą logiczną oraz planem działania;</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3 – ciego posiedzenia Zespołu Roboczego w celu zamknięcia prac nad Planem Działania,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40"/>
              </w:numPr>
              <w:ind w:left="225" w:hanging="283"/>
            </w:pPr>
            <w:r>
              <w:rPr>
                <w:rFonts w:ascii="Times New Roman" w:hAnsi="Times New Roman"/>
                <w:sz w:val="22"/>
                <w:szCs w:val="22"/>
              </w:rPr>
              <w:t>Zebrane na tym etapie opinie zgłoszone zarówno przez mieszkańców jak i eksperta zostały przeanalizowane przez Zespół Roboczy na jego trzecim posiedzeniu.</w:t>
            </w:r>
          </w:p>
        </w:tc>
      </w:tr>
      <w:tr w:rsidR="00294BD0">
        <w:tc>
          <w:tcPr>
            <w:tcW w:w="1838" w:type="dxa"/>
            <w:tcBorders>
              <w:top w:val="single" w:sz="4" w:space="0" w:color="000000"/>
              <w:left w:val="single" w:sz="4" w:space="0" w:color="000000"/>
              <w:bottom w:val="single" w:sz="4" w:space="0" w:color="000000"/>
            </w:tcBorders>
            <w:shd w:val="clear" w:color="auto" w:fill="auto"/>
          </w:tcPr>
          <w:p w:rsidR="00294BD0" w:rsidRDefault="00294BD0">
            <w:pPr>
              <w:spacing w:line="240" w:lineRule="auto"/>
              <w:rPr>
                <w:rFonts w:ascii="Times New Roman" w:hAnsi="Times New Roman" w:cs="Times New Roman"/>
              </w:rPr>
            </w:pPr>
            <w:r>
              <w:rPr>
                <w:rFonts w:ascii="Times New Roman" w:eastAsia="Times New Roman" w:hAnsi="Times New Roman" w:cs="Times New Roman"/>
              </w:rPr>
              <w:t>Zasady monitoringu i ewaluacji</w:t>
            </w:r>
          </w:p>
        </w:tc>
        <w:tc>
          <w:tcPr>
            <w:tcW w:w="3969"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zaproponowanych zasad monitorowania działań podejmowanych w ramach Strategii, w tym zasad jej ewaluacji.</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mieszkańców – nie zebrano</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eksperta – w zakresie doprecyzowania sposobu wykonania badania w tabeli prezentującej elementy podlegające monitorowaniu</w:t>
            </w:r>
          </w:p>
          <w:p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4 – tego posiedzenia Zespołu Roboczego w celu domknięcia prac zasadami monitoringu i ewaluacji,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pStyle w:val="Akapitzlist"/>
              <w:numPr>
                <w:ilvl w:val="0"/>
                <w:numId w:val="40"/>
              </w:numPr>
              <w:ind w:left="225" w:hanging="283"/>
            </w:pPr>
            <w:r>
              <w:rPr>
                <w:rFonts w:ascii="Times New Roman" w:hAnsi="Times New Roman"/>
                <w:sz w:val="22"/>
                <w:szCs w:val="22"/>
              </w:rPr>
              <w:t xml:space="preserve">Zaproponowane wcześniej uwagi zgłoszone zarówno przez mieszkańców jak i eksperta zostały uwzględnione przez Zespół Roboczy. </w:t>
            </w:r>
          </w:p>
        </w:tc>
      </w:tr>
    </w:tbl>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i/>
        </w:rPr>
        <w:t xml:space="preserve">        (Tabela nr 6 – Etapy prac nad Strategią oraz wykorzystane do tego celu narzędzia. Źródło – dane własne)</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sectPr w:rsidR="00294BD0">
          <w:footerReference w:type="default" r:id="rId15"/>
          <w:pgSz w:w="16838" w:h="11906" w:orient="landscape"/>
          <w:pgMar w:top="720" w:right="720" w:bottom="764" w:left="720" w:header="708" w:footer="708" w:gutter="0"/>
          <w:cols w:space="708"/>
          <w:docGrid w:linePitch="600" w:charSpace="36864"/>
        </w:sectPr>
      </w:pPr>
    </w:p>
    <w:p w:rsidR="00294BD0" w:rsidRDefault="00294BD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Po przeprowadzonych badaniach i analizach wysnuto następujące wnioski: </w:t>
      </w:r>
    </w:p>
    <w:p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stosunkowo wysokie bezrobocie niezbędne jest pobudzanie przedsiębiorczości poprzez rozwój istniejących przedsiębiorstw i utworzenie nowych miejsc pracy – grupa docelowa przedsiębiorcy;</w:t>
      </w:r>
    </w:p>
    <w:p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brak miejsc pracy i niskie dochody mieszkańców wsi oraz zagrożenie ubóstwem konieczne jest tworzenie miejsc pracy poprzez działania polegające na zakładaniu działalności gospodarczej – grupa docelowa to osoby fizyczne (zwłaszcza osoby defaworyzowane pod kątem dostępu do rynku pracy);</w:t>
      </w:r>
    </w:p>
    <w:p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potrzebę rozwoju turystyki jako jednego z głównych kierunków rozwoju gmin wchodzących w skład LGD konieczne jest wykorzystanie potencjału regionu tworzenie sieci podmiotów współpracujących w zakresie świadczenia usług turystycznych – grupa docelowa: przedsiębiorcy, organizacje pozarządowe;</w:t>
      </w:r>
    </w:p>
    <w:p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słabo rozwinięty kapitał społeczny w gminach należących do LGD należy prowadzić działania wzmacniające potencjał organizacji pozarządowych oraz aktywność lokalnej społeczności, a także te mające na celu zachowanie dziedzictwa lokalnego – grupa docelowa: organizacje pozarządowe, mieszkańcy, osoby fizyczne, osoby zagrożone wykluczeniem;</w:t>
      </w:r>
    </w:p>
    <w:p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ograniczony dostęp mieszkańców wsi do usług publicznych, głównie społecznych, kulturalnych i edukacyjnych należy zadbać o rozwój ogólnodostępnej i niekomercyjnej infrastruktury (turystycznej lub rekreacyjnej, kulturalnej, drogowej gwarantującej poprawę dostępu do instytucji pożytku publicznego - grupa docelowa: jednostki samorządu terytorialnego, organizacje pozarządowe, mieszkańcy, osoby defaworyzowane pod kątem dostępu do rynku pracy;</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Wszystkie powyżej skonstruowane wnioski zostały wykorzystane w procesie formułowania celów, przedsięwzięć i wskaźników. Na ich podstawie wyodrębniono cele ogólne:</w:t>
      </w:r>
    </w:p>
    <w:p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Pobudzanie lokalnej przedsiębiorczości (wniosek a, b i c);</w:t>
      </w:r>
    </w:p>
    <w:p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Lepsze wykorzystanie potencjału przyrodniczego i kulturowego regionu (wniosek e);</w:t>
      </w:r>
    </w:p>
    <w:p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Wzrost kapitału społecznego na obszarze LGD (wniosek d).</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Metody, które będą wykorzystywane do animacji społeczności lokalnej zostały dostosowane do poszczególnych grup docelowych oraz zakresu wsparcia w ramach LSR i przedstawiają się następująco:</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mieszkańców - za pomocą organizacji kampanii informacyjnej i bezpośrednich spotkań;</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organizacji pozarządowych i osób fizycznych - za pomocą organizacji kampanii informacyjnej, bezpośrednich spotkań i cyklu szkoleniowego oraz badania poziomu satysfakcji – projekty grantowe;</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Aktywizacja osób fizycznych chcących założyć działalność gospodarczą (szczególnie tych z grup defaworyzowanych pod kątem dostępu do rynku pracy) - za pomocą organizacji kampanii informacyjnej, bezpośrednich spotkań i cyklu szkoleniowego oraz badania poziomu satysfakcji – podejmowanie działalności gospodarczej; </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przedsiębiorców chcących rozwinąć prowadzoną działalność gospodarczą - za pomocą organizacji kampanii informacyjnej, bezpośrednich spotkań i cyklu szkoleniowego oraz z badania poziomu satysfakcji – rozwój przedsiębiorstw;</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przedsiębiorców, którzy chcą współpracować między sobą - za pomocą organizacji kampanii informacyjnej, bezpośrednich spotkań i cyklu szkoleniowego oraz badanie poziomu satysfakcji – wspieranie współpracy między podmiotami wykonującymi działalność gospodarczą;</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jednostek samorządu terytorialnego - za pomocą organizacji kampanii informacyjnej, bezpośrednich spotkań i cyklu szkoleniowego oraz badanie poziomu satysfakcji - rozwój ogólnodostępnej i niekomercyjnej infrastruktury turystycznej lub rekreacyjnej i kulturalnej, budowa lub przebudowa dróg gminnych lub powiatowych;</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grup defowaryzowanych pod kątem dostępu do rynku pracy – premiowanie tych operacji, które zakładają zatrudnianie osób ze wskazanej grupy, organizacja kampanii informacyjnej, bezpośrednie spotkania i cykl szkoleniowy;</w:t>
      </w:r>
    </w:p>
    <w:p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Aktywizowanie osób zagrożonych wykluczeniem – premiowanie tych operacji, które zakładają budowę infrastruktury społecznej bądź rozwój oferty skierowanej do osób w wieku poprodukcyjnym oraz bezpośrednie spotkania.</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2E74B5"/>
        </w:rPr>
        <w:t>Rozdział III. Diagnoza - opis obszaru i ludności</w:t>
      </w: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numPr>
          <w:ilvl w:val="6"/>
          <w:numId w:val="54"/>
        </w:numPr>
        <w:tabs>
          <w:tab w:val="left" w:pos="426"/>
        </w:tabs>
        <w:spacing w:after="0" w:line="24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Określenie grup szczególnie istotnych z punktu widzenia realizacji LSR</w:t>
      </w: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Biorąc pod uwagę wykorzystane elementy, opisane w poprzednim rozdziale, które posłużyły do opracowania LSR, wyróżniono następujące grupy odbiorców: </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Mieszkańcy,</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Osoby fizyczne,</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Organizacje pozarządowe,</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Przedsiębiorcy,</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Jednostki samorządu terytorialnego,</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Grupy defaworyzowane pod kątem dostępu do rynku pracy,</w:t>
      </w:r>
    </w:p>
    <w:p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Osoby zagrożone wykluczeniem społecznym tj. osoby w wieku poprodukcyjnym.</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numPr>
          <w:ilvl w:val="1"/>
          <w:numId w:val="27"/>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rPr>
        <w:t>Kapitał społeczny</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Głównym przedmiotem analizy kapitału społecznego Borów Dolnośląskich była aktywność społeczna mieszkańców oraz współpraca mieszkańców i podmiotów. Dokonano tego na podstawie danych z raportu ewaluacyjnego dotyczącego poprzedniego okresu programowania oraz informacji zebranych podczas konsultacji na Walnym Zebraniu Członków. Zestawienie tych elementów pozwoliło na zdiagnozowanie grup szczególnie istotnych z punktu widzenia</w:t>
      </w:r>
      <w:r>
        <w:rPr>
          <w:rFonts w:ascii="Times New Roman" w:eastAsia="Times New Roman" w:hAnsi="Times New Roman" w:cs="Times New Roman"/>
          <w:color w:val="000000"/>
        </w:rPr>
        <w:t xml:space="preserve"> realizacji Strategii. Natomiast późniejsza analiza sektora gospodarczego, analiza dostępu do rynku pracy oraz analiza działań podejmowanych przez Ośrodki Pomocy Społecznej, w tym szczególnie liczba osób ubiegających się o pomoc oraz powody ubiegania się o tą pomoc, pozwoliła na zdefiniowanie grup defaworyzowanych w stosunku dostępu do rynku pracy.</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Skalę niedoboru w zakresie aktywności społecznej pokazują wyniki badań ewaluacyjnych przeprowadzonych przez LGD po zakończeniu realizacji perspektywy finansowej w latach 2007-2013. </w:t>
      </w:r>
      <w:r>
        <w:rPr>
          <w:rFonts w:ascii="Times New Roman" w:eastAsia="Times New Roman" w:hAnsi="Times New Roman" w:cs="Times New Roman"/>
        </w:rPr>
        <w:t>Jednym z elementów poruszanym w kwestionariuszu ankiety było pytanie dotyczące skłonności mieszkańców oraz podmiotów działających na obszarze objętym Strategią do zaangażowania się na rzecz lokalnej społeczności w ich gminach. Respondentów proszono zarówno o odpowiedź na pytanie o własną skłonność co do zaangażowania się na rzecz lokalnej wspólnoty, jak i oszacowanie, czy mieszkańcy gmin, w których mieszkają generalnie przejawiają gotowość do tego typu działania. Biorący udział w badaniu częściej określali siebie samych jako osoby skłonne do podjęcia działań na rzecz lokalnej społeczności, rzadziej przypisując tego typu skłonność reszcie mieszkańców własnej gminy. Pomimo że w obu wypadkach odpowiedzi deklarujące skłonność do zaangażowania się stanowiły relatywną większość, to jednak w obu przypadkach mamy do czynienia z niemałym obszarem społecznej bierności w tej kwestii.</w:t>
      </w:r>
    </w:p>
    <w:p w:rsidR="00294BD0" w:rsidRDefault="00294BD0">
      <w:pPr>
        <w:spacing w:after="0" w:line="240" w:lineRule="auto"/>
        <w:jc w:val="both"/>
        <w:rPr>
          <w:rFonts w:ascii="Times New Roman" w:eastAsia="Times New Roman" w:hAnsi="Times New Roman" w:cs="Times New Roman"/>
        </w:rPr>
      </w:pPr>
    </w:p>
    <w:p w:rsidR="00294BD0" w:rsidRDefault="00EA57E7">
      <w:pPr>
        <w:spacing w:after="0" w:line="240" w:lineRule="auto"/>
        <w:jc w:val="center"/>
        <w:rPr>
          <w:rFonts w:ascii="Times New Roman" w:eastAsia="Times New Roman" w:hAnsi="Times New Roman" w:cs="Times New Roman"/>
          <w:b/>
          <w:i/>
        </w:rPr>
      </w:pPr>
      <w:r>
        <w:rPr>
          <w:rFonts w:ascii="Calibri Light" w:eastAsia="Times New Roman" w:hAnsi="Calibri Light" w:cs="Calibri Light"/>
          <w:noProof/>
          <w:sz w:val="24"/>
          <w:szCs w:val="24"/>
          <w:lang w:val="pl-PL"/>
        </w:rPr>
        <w:drawing>
          <wp:inline distT="0" distB="0" distL="0" distR="0">
            <wp:extent cx="2809875" cy="1990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solidFill>
                      <a:srgbClr val="FFFFFF"/>
                    </a:solidFill>
                    <a:ln>
                      <a:noFill/>
                    </a:ln>
                  </pic:spPr>
                </pic:pic>
              </a:graphicData>
            </a:graphic>
          </wp:inline>
        </w:drawing>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
          <w:i/>
        </w:rPr>
        <w:t xml:space="preserve">Wykres 1. </w:t>
      </w:r>
      <w:r>
        <w:rPr>
          <w:rFonts w:ascii="Times New Roman" w:eastAsia="Times New Roman" w:hAnsi="Times New Roman" w:cs="Times New Roman"/>
          <w:i/>
        </w:rPr>
        <w:t>Struktura odpowiedzi na</w:t>
      </w:r>
      <w:r>
        <w:rPr>
          <w:rFonts w:ascii="Times New Roman" w:eastAsia="Times New Roman" w:hAnsi="Times New Roman" w:cs="Times New Roman"/>
          <w:b/>
          <w:i/>
        </w:rPr>
        <w:t xml:space="preserve"> </w:t>
      </w:r>
      <w:r>
        <w:rPr>
          <w:rFonts w:ascii="Times New Roman" w:eastAsia="Times New Roman" w:hAnsi="Times New Roman" w:cs="Times New Roman"/>
          <w:i/>
        </w:rPr>
        <w:t>pytania o skłonność zaangażowania się na rzecz społeczności lokalnej  - samych respondentów i mieszkańców gminy ogółem Źródło: Raport z badań ewaluacyjnych</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Tylko 53% wszystkich biorących udział w badaniu ewaluacyjnym potrafiła wskazać konkretne projekty/działania, które ich zdaniem były realizowane za pośrednictwem LGD Bory Dolnośląskie. Wynik ten sugeruje potrzebę kontynuacji działań związanych z promocją własnej marki i podejmowanych pod jej egidą działań.</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Wyniki analizy działań zrealizowanych w okresie 2007-2013 w zakresie Małych Projektów potwierdzają także bardzo niewielki zakres współpracy zarówno samych mieszkańców jak i podmiotów funkcjonujących na obszarze objętym LSR w zakresie realizacji wspólnych działań mających wpływ na poprawę warunków życia na obszarach wiejskich. Sytuację tą potwierdzają takie dane statystyczne jak:</w:t>
      </w:r>
    </w:p>
    <w:p w:rsidR="00294BD0" w:rsidRDefault="00294BD0">
      <w:pP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liczba małych projektów zrealizowanych w partnerstwie z innymi podmiotami – 0; </w:t>
      </w:r>
    </w:p>
    <w:p w:rsidR="00294BD0" w:rsidRDefault="00294BD0">
      <w:pP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liczba wolontariuszy zaangażowanych w realizację małych projektów – 0;</w:t>
      </w:r>
    </w:p>
    <w:p w:rsidR="00294BD0" w:rsidRDefault="00294BD0">
      <w:pPr>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Pomimo, że element zaangażowania zasobów osobowych w realizację działań był punktowany w ramach Lokalnych Kryteriów Wyboru to nie stanowił on podstawy do włączenia w planowane działania zarówno innych organizacji pozarządowych, samych mieszkańców jak i innych partnerów życia społecznego. Wszystkie projekty realizowane były przez beneficjentów samodzielnie, bez zaangażowania w nie zarówno formalnych jak i nieformalnych partnerów. Informacja ta potwierdza zatem tezę, iż stopień rozwoju kapitału społecznego w Borach Dolnośląskich jest bardzo </w:t>
      </w:r>
      <w:r>
        <w:rPr>
          <w:rFonts w:ascii="Times New Roman" w:eastAsia="Times New Roman" w:hAnsi="Times New Roman" w:cs="Times New Roman"/>
        </w:rPr>
        <w:t>niski i wymaga on dalszej interwencji.</w:t>
      </w: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numPr>
          <w:ilvl w:val="1"/>
          <w:numId w:val="27"/>
        </w:numPr>
        <w:spacing w:after="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b/>
          <w:color w:val="000000"/>
        </w:rPr>
        <w:t>Potencjał demograficzny</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Obszar LGD wg danych na dzień 31.12.2013 r. zamieszkuje 66 208 osób, porównując to z liczbą ludności w 2006 r., która wynosiła 66 010 należy odnotować wzrost o 198 osób. W 2010 r. liczba ludności była największa i wyniosła 66 537 osób, od tego momentu obserwujemy tendencje spadkowe, jednak nadal liczba ludności jest wyższa niż przed tą datą. Zostało to przedstawione na wykresie zamieszczonym pod tabelką. Najwięcej osób zamieszkuje gminę wiejską Żary oraz gminy miejsko-wiejskie Pieńsk i Węgliniec (tabela rok 2013). </w:t>
      </w:r>
    </w:p>
    <w:p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223"/>
        <w:gridCol w:w="1045"/>
        <w:gridCol w:w="992"/>
        <w:gridCol w:w="992"/>
        <w:gridCol w:w="851"/>
        <w:gridCol w:w="850"/>
        <w:gridCol w:w="993"/>
        <w:gridCol w:w="992"/>
        <w:gridCol w:w="988"/>
      </w:tblGrid>
      <w:tr w:rsidR="00294BD0">
        <w:tc>
          <w:tcPr>
            <w:tcW w:w="1223"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Nazwa gminy</w:t>
            </w:r>
          </w:p>
        </w:tc>
        <w:tc>
          <w:tcPr>
            <w:tcW w:w="104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2006</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2007</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2008</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2009</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2010</w:t>
            </w:r>
          </w:p>
        </w:tc>
        <w:tc>
          <w:tcPr>
            <w:tcW w:w="993"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2011</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2012</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pPr>
            <w:r>
              <w:rPr>
                <w:rFonts w:ascii="Times New Roman" w:eastAsia="Times New Roman" w:hAnsi="Times New Roman" w:cs="Times New Roman"/>
                <w:b/>
              </w:rPr>
              <w:t>2013</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3 500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3 417</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3 398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3 371</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3 375</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3 360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3 328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3 272</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Gmina </w:t>
            </w:r>
          </w:p>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Iłowa</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7 163</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7 100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7 118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7 113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7 161</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7 101</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7 086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7 069</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5 525</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5 418</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5 412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5 402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5 393</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5 383</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5 360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5 339</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2 495</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2 443</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2 426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2 410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2 485</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2 450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2 394</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2 359</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7 015</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7 020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7 016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7 041</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7 095</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7 140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7 141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7 209</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3 334</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3 269</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3 260</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3 252</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3 252</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11 677</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11 717</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11 671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11 719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11 973</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12 044</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12 097</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12 153</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6 993</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7 186</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7 291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7 394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7 585</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7 547</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7 542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7 553</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9 428</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9 274</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9 274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9 235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9 366</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9 353</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9 351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9 315</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8 880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8 685</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8 647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8 623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8 844</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8 811</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8 739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8 687</w:t>
            </w:r>
          </w:p>
        </w:tc>
      </w:tr>
      <w:tr w:rsidR="00294BD0">
        <w:tc>
          <w:tcPr>
            <w:tcW w:w="12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Razem</w:t>
            </w:r>
          </w:p>
        </w:tc>
        <w:tc>
          <w:tcPr>
            <w:tcW w:w="104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66 010</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65 529</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65 514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65 564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66 537</w:t>
            </w:r>
          </w:p>
        </w:tc>
        <w:tc>
          <w:tcPr>
            <w:tcW w:w="99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66 441</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66 296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b/>
              </w:rPr>
              <w:t>66 208</w:t>
            </w:r>
          </w:p>
        </w:tc>
      </w:tr>
    </w:tbl>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(Tabela nr 7 – Struktura demograficzna mieszkańców z obszaru LGD. Źródło - dane GUS – BDL)</w:t>
      </w:r>
    </w:p>
    <w:p w:rsidR="00294BD0" w:rsidRDefault="00294BD0">
      <w:pPr>
        <w:spacing w:after="0" w:line="240" w:lineRule="auto"/>
        <w:jc w:val="both"/>
        <w:rPr>
          <w:rFonts w:ascii="Times New Roman" w:eastAsia="Times New Roman" w:hAnsi="Times New Roman" w:cs="Times New Roman"/>
          <w:color w:val="000000"/>
        </w:rPr>
      </w:pPr>
    </w:p>
    <w:p w:rsidR="00294BD0" w:rsidRDefault="00EA57E7">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noProof/>
          <w:color w:val="000000"/>
          <w:lang w:val="pl-PL"/>
        </w:rPr>
        <w:drawing>
          <wp:inline distT="0" distB="0" distL="0" distR="0">
            <wp:extent cx="4210050" cy="2524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solidFill>
                      <a:srgbClr val="FFFFFF"/>
                    </a:solidFill>
                    <a:ln>
                      <a:noFill/>
                    </a:ln>
                  </pic:spPr>
                </pic:pic>
              </a:graphicData>
            </a:graphic>
          </wp:inline>
        </w:drawing>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Wykres nr 2</w:t>
      </w:r>
      <w:r>
        <w:rPr>
          <w:rFonts w:ascii="Times New Roman" w:eastAsia="Times New Roman" w:hAnsi="Times New Roman" w:cs="Times New Roman"/>
          <w:i/>
          <w:color w:val="000000"/>
        </w:rPr>
        <w:t xml:space="preserve"> - Struktura demograficzna mieszkańców z obszaru LGD. Dane GUS – 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Łącznie średnia gęstość zaludnienia gmin wchodzących w skład LGD według stanu na 31.12.2013 rok wynosi 50 os./km². Największa gęstość zaludnienia występuje w gminie miejskiej Gozdnica, a najmniejsza w gminie wiejskiej Osiecznica. Dokładna gęstość zaludnienia została przedstawiona w tabeli poniżej.</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364"/>
        <w:gridCol w:w="3045"/>
      </w:tblGrid>
      <w:tr w:rsidR="00294BD0">
        <w:tc>
          <w:tcPr>
            <w:tcW w:w="3364"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p w:rsidR="00294BD0" w:rsidRDefault="00294BD0">
            <w:pPr>
              <w:spacing w:after="0" w:line="240" w:lineRule="auto"/>
              <w:jc w:val="center"/>
              <w:rPr>
                <w:rFonts w:ascii="Times New Roman" w:eastAsia="Times New Roman" w:hAnsi="Times New Roman" w:cs="Times New Roman"/>
                <w:b/>
                <w:color w:val="000000"/>
              </w:rPr>
            </w:pPr>
          </w:p>
        </w:tc>
        <w:tc>
          <w:tcPr>
            <w:tcW w:w="3045" w:type="dxa"/>
            <w:tcBorders>
              <w:top w:val="single" w:sz="4" w:space="0" w:color="000000"/>
              <w:left w:val="single" w:sz="4" w:space="0" w:color="000000"/>
              <w:bottom w:val="single" w:sz="4" w:space="0" w:color="000000"/>
              <w:right w:val="single" w:sz="4" w:space="0" w:color="000000"/>
            </w:tcBorders>
            <w:shd w:val="clear" w:color="auto" w:fill="BFBFBF"/>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Gęstość zaludnienia</w:t>
            </w:r>
          </w:p>
          <w:p w:rsidR="00294BD0" w:rsidRDefault="00294BD0">
            <w:pPr>
              <w:spacing w:after="0" w:line="240" w:lineRule="auto"/>
              <w:jc w:val="center"/>
            </w:pPr>
            <w:r>
              <w:rPr>
                <w:rFonts w:ascii="Times New Roman" w:eastAsia="Times New Roman" w:hAnsi="Times New Roman" w:cs="Times New Roman"/>
                <w:b/>
                <w:color w:val="000000"/>
              </w:rPr>
              <w:t>os./km²</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Gozdnica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137</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Iłowa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46</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Małomice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67</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Wymiarki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37</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wiejska Żagań</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26</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Przewóz</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18</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wiejska Żary</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41</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Osiecznica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17</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Pieńsk</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84</w:t>
            </w:r>
          </w:p>
        </w:tc>
      </w:tr>
      <w:tr w:rsidR="00294BD0">
        <w:tc>
          <w:tcPr>
            <w:tcW w:w="336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Węgliniec</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26</w:t>
            </w:r>
          </w:p>
        </w:tc>
      </w:tr>
      <w:tr w:rsidR="00294BD0">
        <w:tc>
          <w:tcPr>
            <w:tcW w:w="336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Średnia gęstość zaludnienia</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pPr>
            <w:r>
              <w:rPr>
                <w:rFonts w:ascii="Times New Roman" w:eastAsia="Times New Roman" w:hAnsi="Times New Roman" w:cs="Times New Roman"/>
                <w:color w:val="000000"/>
              </w:rPr>
              <w:t>50,00</w:t>
            </w:r>
          </w:p>
        </w:tc>
      </w:tr>
    </w:tbl>
    <w:p w:rsidR="00294BD0" w:rsidRDefault="00294BD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i/>
          <w:color w:val="000000"/>
        </w:rPr>
        <w:t xml:space="preserve">                                  (Tabela nr 8  – Gęstość zaludnienia. Źródło - dane GUS – BDL)</w:t>
      </w:r>
    </w:p>
    <w:p w:rsidR="00294BD0" w:rsidRDefault="00294BD0">
      <w:pPr>
        <w:spacing w:after="0" w:line="240" w:lineRule="auto"/>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Struktura ludności gmin objętych LSR według wieku została przedstawiona w podziale na osoby w wieku przedprodukcyjnym, czyli 0-17 lat, wieku produkcyjnym, czyli 18-60 dla kobiet oraz 18-65 dla mężczyzn, a także poprodukcyjnym powyżej 60 lat dla kobiet i 65 lat dla mężczyzn. Na podstawie zaprezentowanych wyników można zaobserwować trend malejący w przypadku osób w wieku przedprodukcyjnym, a rosnący w przypadku osób w wieku produkcyjnym i poprodukcyjnym. Świadczy to o starzeniu się społeczeństwa, dlatego w najbliższych latach będzie widoczny wzrost liczby osób w wieku poprodukcyjnym. Tym samym zauważamy kolejny obszar interwencji, który wymaga przystosowania infrastruktury społecznej do potrzeb osób w wieku poprodukcyjnym, aby zapobiec wyłączeniu społecznemu tej grupy mieszkańców objętych LSR.</w:t>
      </w:r>
    </w:p>
    <w:p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353"/>
        <w:gridCol w:w="1843"/>
        <w:gridCol w:w="855"/>
        <w:gridCol w:w="696"/>
        <w:gridCol w:w="8"/>
        <w:gridCol w:w="713"/>
        <w:gridCol w:w="851"/>
        <w:gridCol w:w="766"/>
        <w:gridCol w:w="851"/>
        <w:gridCol w:w="749"/>
        <w:gridCol w:w="810"/>
      </w:tblGrid>
      <w:tr w:rsidR="00294BD0">
        <w:trPr>
          <w:trHeight w:val="592"/>
        </w:trPr>
        <w:tc>
          <w:tcPr>
            <w:tcW w:w="3196"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tc>
        <w:tc>
          <w:tcPr>
            <w:tcW w:w="855"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704"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713"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66"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749"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294BD0" w:rsidRDefault="00294BD0">
            <w:pPr>
              <w:spacing w:after="0" w:line="240" w:lineRule="auto"/>
            </w:pPr>
            <w:r>
              <w:rPr>
                <w:rFonts w:ascii="Times New Roman" w:eastAsia="Times New Roman" w:hAnsi="Times New Roman" w:cs="Times New Roman"/>
                <w:b/>
                <w:color w:val="000000"/>
              </w:rPr>
              <w:t>2013</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Gozdnica</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703</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681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641</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592</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523</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2180</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2185</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2157</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2159</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2145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2116</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573</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633</w:t>
            </w:r>
          </w:p>
        </w:tc>
      </w:tr>
      <w:tr w:rsidR="00294BD0">
        <w:trPr>
          <w:trHeight w:val="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Gmina </w:t>
            </w:r>
          </w:p>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Iłowa</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1436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1392</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1373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1298</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1267</w:t>
            </w:r>
          </w:p>
        </w:tc>
      </w:tr>
      <w:tr w:rsidR="00294BD0">
        <w:trPr>
          <w:trHeight w:val="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4548</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4577</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4595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4590</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4630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4602</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4548</w:t>
            </w:r>
          </w:p>
        </w:tc>
      </w:tr>
      <w:tr w:rsidR="00294BD0">
        <w:trPr>
          <w:trHeight w:val="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1131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1164</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1188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1201</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1254</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Małomice</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1041</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1020</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978</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916</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928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900</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3534</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3535</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3530</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3549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3533</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3473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3456</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859</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863</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894</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934</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959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983</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Wymiarki</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509</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443</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383</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1582</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1582</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1618</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1662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1639</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1589</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359</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374</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387</w:t>
            </w:r>
          </w:p>
        </w:tc>
      </w:tr>
      <w:tr w:rsidR="00294BD0">
        <w:trPr>
          <w:trHeight w:val="290"/>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wiejska Żagań</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1694</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1677</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1593</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1528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1505</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1475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1472</w:t>
            </w:r>
          </w:p>
        </w:tc>
      </w:tr>
      <w:tr w:rsidR="00294BD0">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4434</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4484</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4518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4585</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4659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4716</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4723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4748</w:t>
            </w:r>
          </w:p>
        </w:tc>
      </w:tr>
      <w:tr w:rsidR="00294BD0">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846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859</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863</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919</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943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989</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Przewóz</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817</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777</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759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729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715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690</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652</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2031</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2047</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2057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2071</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2094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2101</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2115</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461</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485</w:t>
            </w:r>
          </w:p>
        </w:tc>
      </w:tr>
      <w:tr w:rsidR="00294BD0">
        <w:trPr>
          <w:trHeight w:val="290"/>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wiejska Żary</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2657</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2645</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2537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2484</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2523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2481</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2426</w:t>
            </w:r>
          </w:p>
        </w:tc>
      </w:tr>
      <w:tr w:rsidR="00294BD0">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7617</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7660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7745</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7927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8027</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8066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8047</w:t>
            </w:r>
          </w:p>
        </w:tc>
      </w:tr>
      <w:tr w:rsidR="00294BD0">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1453</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1455</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1474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1490</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1523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1536</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1680</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Osiecznica</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1836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1831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1816</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1840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1780</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1723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1686</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4497</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4603</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4688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4783</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4910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4888</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4899</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735</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752</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795</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879</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968</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Pieńsk</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1990</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1924</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1886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1755</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1651</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6004</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6069</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6079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6200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6174</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6141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6099</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1256</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1327</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1424</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1565</w:t>
            </w:r>
          </w:p>
        </w:tc>
      </w:tr>
      <w:tr w:rsidR="00294BD0">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Węgliniec</w:t>
            </w: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1827</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1774</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1726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1640</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1670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1628</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1577</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1523</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5565</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5571</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5629</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5792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5763</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5654</w:t>
            </w:r>
          </w:p>
        </w:tc>
      </w:tr>
      <w:tr w:rsidR="00294BD0">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1342</w:t>
            </w:r>
          </w:p>
        </w:tc>
        <w:tc>
          <w:tcPr>
            <w:tcW w:w="69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1340</w:t>
            </w:r>
          </w:p>
        </w:tc>
        <w:tc>
          <w:tcPr>
            <w:tcW w:w="721"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1354</w:t>
            </w:r>
          </w:p>
        </w:tc>
        <w:tc>
          <w:tcPr>
            <w:tcW w:w="76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1382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1420</w:t>
            </w:r>
          </w:p>
        </w:tc>
        <w:tc>
          <w:tcPr>
            <w:tcW w:w="74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1510</w:t>
            </w:r>
          </w:p>
        </w:tc>
      </w:tr>
    </w:tbl>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(Tabela nr 9 – Struktura ludności gmin objętych LSR. Źródło - dane GUS – 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Wskaźnik feminizacji dla całego obszaru w 2013 r. wynosił 103 kobiety/100 mężczyzn i utrzymuje się od 2006 roku na podobnym poziomie. Najwięcej kobiet przypadających na liczbę mężczyzn znajduje się w gminie Wymiarki, Gozdnica oraz Iłowa. Najmniejszą wartość wskaźnik osiąga w gminie wiejskiej Żagań i w gminie Osiecznica. W poszczególnych latach wartość ta kształtowała się to następująco:</w:t>
      </w:r>
    </w:p>
    <w:p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071"/>
        <w:gridCol w:w="854"/>
        <w:gridCol w:w="720"/>
        <w:gridCol w:w="701"/>
        <w:gridCol w:w="855"/>
        <w:gridCol w:w="712"/>
        <w:gridCol w:w="851"/>
        <w:gridCol w:w="850"/>
        <w:gridCol w:w="881"/>
      </w:tblGrid>
      <w:tr w:rsidR="00294BD0">
        <w:trPr>
          <w:trHeight w:val="592"/>
        </w:trPr>
        <w:tc>
          <w:tcPr>
            <w:tcW w:w="307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tc>
        <w:tc>
          <w:tcPr>
            <w:tcW w:w="854"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720"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70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5"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rsidR="00294BD0" w:rsidRDefault="00294BD0">
            <w:pPr>
              <w:spacing w:after="0" w:line="240" w:lineRule="auto"/>
            </w:pPr>
            <w:r>
              <w:rPr>
                <w:rFonts w:ascii="Times New Roman" w:eastAsia="Times New Roman" w:hAnsi="Times New Roman" w:cs="Times New Roman"/>
                <w:b/>
                <w:color w:val="000000"/>
              </w:rPr>
              <w:t>2013</w:t>
            </w:r>
          </w:p>
        </w:tc>
      </w:tr>
      <w:tr w:rsidR="00294BD0">
        <w:trPr>
          <w:trHeight w:val="433"/>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Gozdnica</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107</w:t>
            </w:r>
          </w:p>
        </w:tc>
      </w:tr>
      <w:tr w:rsidR="00294BD0">
        <w:trPr>
          <w:trHeight w:val="514"/>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Iłowa</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107</w:t>
            </w:r>
          </w:p>
        </w:tc>
      </w:tr>
      <w:tr w:rsidR="00294BD0">
        <w:trPr>
          <w:trHeight w:val="494"/>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Małomice</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103</w:t>
            </w:r>
          </w:p>
        </w:tc>
      </w:tr>
      <w:tr w:rsidR="00294BD0">
        <w:trPr>
          <w:trHeight w:val="446"/>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Wymiarki</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109</w:t>
            </w:r>
          </w:p>
        </w:tc>
      </w:tr>
      <w:tr w:rsidR="00294BD0">
        <w:trPr>
          <w:trHeight w:val="540"/>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wiejska Żagań</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97</w:t>
            </w:r>
          </w:p>
        </w:tc>
      </w:tr>
      <w:tr w:rsidR="00294BD0">
        <w:trPr>
          <w:trHeight w:val="408"/>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Przewóz</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101</w:t>
            </w:r>
          </w:p>
        </w:tc>
      </w:tr>
      <w:tr w:rsidR="00294BD0">
        <w:trPr>
          <w:trHeight w:val="501"/>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wiejska Żary</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103</w:t>
            </w:r>
          </w:p>
        </w:tc>
      </w:tr>
      <w:tr w:rsidR="00294BD0">
        <w:trPr>
          <w:trHeight w:val="424"/>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Osiecznica</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98</w:t>
            </w:r>
          </w:p>
        </w:tc>
      </w:tr>
      <w:tr w:rsidR="00294BD0">
        <w:trPr>
          <w:trHeight w:val="376"/>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Pieńsk</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102</w:t>
            </w:r>
          </w:p>
        </w:tc>
      </w:tr>
      <w:tr w:rsidR="00294BD0">
        <w:trPr>
          <w:trHeight w:val="605"/>
        </w:trPr>
        <w:tc>
          <w:tcPr>
            <w:tcW w:w="307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Węgliniec</w:t>
            </w:r>
          </w:p>
        </w:tc>
        <w:tc>
          <w:tcPr>
            <w:tcW w:w="85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0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101</w:t>
            </w:r>
          </w:p>
        </w:tc>
      </w:tr>
      <w:tr w:rsidR="00294BD0">
        <w:trPr>
          <w:trHeight w:val="605"/>
        </w:trPr>
        <w:tc>
          <w:tcPr>
            <w:tcW w:w="307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w:t>
            </w:r>
          </w:p>
        </w:tc>
        <w:tc>
          <w:tcPr>
            <w:tcW w:w="85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2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0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103</w:t>
            </w:r>
          </w:p>
        </w:tc>
        <w:tc>
          <w:tcPr>
            <w:tcW w:w="85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1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103</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102</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102</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both"/>
            </w:pPr>
            <w:r>
              <w:rPr>
                <w:rFonts w:ascii="Times New Roman" w:eastAsia="Times New Roman" w:hAnsi="Times New Roman" w:cs="Times New Roman"/>
                <w:b/>
                <w:color w:val="000000"/>
              </w:rPr>
              <w:t>103</w:t>
            </w:r>
          </w:p>
        </w:tc>
      </w:tr>
    </w:tbl>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rPr>
        <w:t>(Tabela nr 10 – Stopień feminizacji na terenach gmin objętych LSR. Źródło - dane GUS – 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numPr>
          <w:ilvl w:val="0"/>
          <w:numId w:val="27"/>
        </w:numP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Charakterystyka gospodarki/przedsiębiorczości</w:t>
      </w:r>
    </w:p>
    <w:p w:rsidR="00294BD0" w:rsidRDefault="00294BD0">
      <w:pPr>
        <w:tabs>
          <w:tab w:val="left" w:pos="284"/>
        </w:tabs>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Pomimo dużej lesistości oraz obszarów wyłączonych z możliwości prowadzenia na nich działalności gospodarczej mapa przedsiębiorczości Borów Dolnośląskich wygląda stosunkowo dobrze. Na terenie objętym strategią obserwuje się tendencję wzrostową jeżeli chodzi o liczbę podmiotów gospodarczych zarejestrowanych w rejestrze REGON w porównaniu do danych z roku 2006. </w:t>
      </w:r>
    </w:p>
    <w:p w:rsidR="00294BD0" w:rsidRDefault="00294BD0">
      <w:pPr>
        <w:tabs>
          <w:tab w:val="left" w:pos="284"/>
        </w:tabs>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Obecnie sytuacja wygląda następująco:</w:t>
      </w:r>
    </w:p>
    <w:p w:rsidR="00294BD0" w:rsidRDefault="00294BD0">
      <w:pPr>
        <w:tabs>
          <w:tab w:val="left" w:pos="284"/>
        </w:tabs>
        <w:spacing w:after="0" w:line="240" w:lineRule="auto"/>
        <w:ind w:left="284"/>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288"/>
        <w:gridCol w:w="1606"/>
        <w:gridCol w:w="1299"/>
        <w:gridCol w:w="1443"/>
        <w:gridCol w:w="1457"/>
        <w:gridCol w:w="1833"/>
      </w:tblGrid>
      <w:tr w:rsidR="00294BD0">
        <w:tc>
          <w:tcPr>
            <w:tcW w:w="1288"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Nazwa gminy</w:t>
            </w:r>
          </w:p>
        </w:tc>
        <w:tc>
          <w:tcPr>
            <w:tcW w:w="1606"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Podmioty gospodarki narodowej - ogółem</w:t>
            </w:r>
          </w:p>
        </w:tc>
        <w:tc>
          <w:tcPr>
            <w:tcW w:w="1299"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Sektor publiczny - ogółem</w:t>
            </w:r>
          </w:p>
        </w:tc>
        <w:tc>
          <w:tcPr>
            <w:tcW w:w="1443"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Osoby fizyczne prowadzące działalność</w:t>
            </w:r>
          </w:p>
        </w:tc>
        <w:tc>
          <w:tcPr>
            <w:tcW w:w="1457"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Spółdzielnie</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pPr>
            <w:r>
              <w:rPr>
                <w:rFonts w:ascii="Times New Roman" w:eastAsia="Times New Roman" w:hAnsi="Times New Roman" w:cs="Times New Roman"/>
                <w:b/>
              </w:rPr>
              <w:t>Stowarzyszenia i organizacje społeczne</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257</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31</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127</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Iłowa</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498</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354</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15</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404</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265</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13</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152</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9</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533</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435</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21</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249</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194</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881</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718</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43</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362</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21</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842</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71</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569</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24</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697</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65</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386</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26</w:t>
            </w:r>
          </w:p>
        </w:tc>
      </w:tr>
      <w:tr w:rsidR="00294BD0">
        <w:tc>
          <w:tcPr>
            <w:tcW w:w="128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RAZEM</w:t>
            </w:r>
          </w:p>
        </w:tc>
        <w:tc>
          <w:tcPr>
            <w:tcW w:w="160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4.967</w:t>
            </w:r>
          </w:p>
        </w:tc>
        <w:tc>
          <w:tcPr>
            <w:tcW w:w="129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313</w:t>
            </w:r>
          </w:p>
        </w:tc>
        <w:tc>
          <w:tcPr>
            <w:tcW w:w="144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3.519</w:t>
            </w:r>
          </w:p>
        </w:tc>
        <w:tc>
          <w:tcPr>
            <w:tcW w:w="1457"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186</w:t>
            </w:r>
          </w:p>
        </w:tc>
      </w:tr>
    </w:tbl>
    <w:p w:rsidR="00294BD0" w:rsidRDefault="00294BD0">
      <w:pPr>
        <w:spacing w:after="0" w:line="240" w:lineRule="auto"/>
        <w:ind w:left="28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(Tabela nr 11 - Liczba podmiotów gospodarki narodowej wpisanych do rejestru REGON. Stan na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dzień 31.12.2013r. Źródło - dane GUS – 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Sektor prywatny i publiczny reprezentuje łącznie 4.967 podmiotów z tego 4.654 to podmioty gospodarcze sektora prywatnego. Najwięcej podmiotów gospodarczych zlokalizowanych jest na terenie gminy Żary (881), Pieńsk (842), Węgliniec (697), a najmniej w gminie Wymiarki (152), Przewóz (249) oraz Gozdnica (257). Zestawiając te dane z sytuacją jaka miała miejsce na koniec roku 2006 (4.826 podmiotów gospodarczych z czego 4.485 to podmioty prywatne) wskazać należy na znaczący wzrost (o 141 podmiotów gospodarczych).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Przeważająca liczba podmiotów gospodarczych działających na terenie objętym Strategią to osoby fizyczne prowadzące działalność gospodarczą (3.519 podmiotów). Są to głównie firmy jednoosobowe lub mikroprzedsiębiorcy zatrudniający do 9 pracowników.</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prowadzą przede wszystkim działalność usługową taką jak, działalność handlową, gastronomiczną, budowlaną, produkcyjną czy też transportową. Stanowią główne źródło dochodów poszczególnych gmin oraz znaczące źródło utrzymania tutejszych mieszkańców.</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rPr>
          <w:rFonts w:ascii="Times New Roman" w:hAnsi="Times New Roman" w:cs="Times New Roman"/>
        </w:rPr>
      </w:pPr>
    </w:p>
    <w:tbl>
      <w:tblPr>
        <w:tblW w:w="0" w:type="auto"/>
        <w:tblInd w:w="689" w:type="dxa"/>
        <w:tblLayout w:type="fixed"/>
        <w:tblLook w:val="0000" w:firstRow="0" w:lastRow="0" w:firstColumn="0" w:lastColumn="0" w:noHBand="0" w:noVBand="0"/>
      </w:tblPr>
      <w:tblGrid>
        <w:gridCol w:w="3260"/>
        <w:gridCol w:w="2931"/>
        <w:gridCol w:w="3057"/>
      </w:tblGrid>
      <w:tr w:rsidR="00294BD0">
        <w:trPr>
          <w:trHeight w:val="366"/>
        </w:trPr>
        <w:tc>
          <w:tcPr>
            <w:tcW w:w="326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293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Dochód podatkowy gminy</w:t>
            </w:r>
          </w:p>
        </w:tc>
        <w:tc>
          <w:tcPr>
            <w:tcW w:w="3057"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pPr>
            <w:r>
              <w:rPr>
                <w:rFonts w:ascii="Times New Roman" w:hAnsi="Times New Roman" w:cs="Times New Roman"/>
                <w:b/>
              </w:rPr>
              <w:t>Średni dochód podatkowy dla gmin z województw</w:t>
            </w:r>
          </w:p>
        </w:tc>
      </w:tr>
      <w:tr w:rsidR="00294BD0">
        <w:trPr>
          <w:trHeight w:val="366"/>
        </w:trPr>
        <w:tc>
          <w:tcPr>
            <w:tcW w:w="3260"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Osiecznica</w:t>
            </w:r>
          </w:p>
        </w:tc>
        <w:tc>
          <w:tcPr>
            <w:tcW w:w="2931"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1.881,86</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294BD0" w:rsidRDefault="00294BD0">
            <w:pPr>
              <w:snapToGrid w:val="0"/>
              <w:spacing w:after="0" w:line="240" w:lineRule="auto"/>
              <w:jc w:val="center"/>
              <w:rPr>
                <w:rFonts w:ascii="Times New Roman" w:hAnsi="Times New Roman" w:cs="Times New Roman"/>
              </w:rPr>
            </w:pPr>
          </w:p>
          <w:p w:rsidR="00294BD0" w:rsidRDefault="00294BD0">
            <w:pPr>
              <w:spacing w:after="0" w:line="240" w:lineRule="auto"/>
              <w:jc w:val="center"/>
              <w:rPr>
                <w:rFonts w:ascii="Times New Roman" w:hAnsi="Times New Roman" w:cs="Times New Roman"/>
              </w:rPr>
            </w:pPr>
          </w:p>
          <w:p w:rsidR="00294BD0" w:rsidRDefault="00294BD0">
            <w:pPr>
              <w:spacing w:after="0" w:line="240" w:lineRule="auto"/>
              <w:jc w:val="center"/>
            </w:pPr>
            <w:r>
              <w:rPr>
                <w:rFonts w:ascii="Times New Roman" w:hAnsi="Times New Roman" w:cs="Times New Roman"/>
              </w:rPr>
              <w:t>1.291,02 zł</w:t>
            </w:r>
          </w:p>
        </w:tc>
      </w:tr>
      <w:tr w:rsidR="00294BD0">
        <w:trPr>
          <w:trHeight w:val="366"/>
        </w:trPr>
        <w:tc>
          <w:tcPr>
            <w:tcW w:w="3260"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Pieńsk</w:t>
            </w:r>
          </w:p>
        </w:tc>
        <w:tc>
          <w:tcPr>
            <w:tcW w:w="2931"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933,80</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66"/>
        </w:trPr>
        <w:tc>
          <w:tcPr>
            <w:tcW w:w="3260"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Węgliniec</w:t>
            </w:r>
          </w:p>
        </w:tc>
        <w:tc>
          <w:tcPr>
            <w:tcW w:w="2931" w:type="dxa"/>
            <w:tcBorders>
              <w:top w:val="single" w:sz="4" w:space="0" w:color="000000"/>
              <w:left w:val="single" w:sz="4" w:space="0" w:color="000000"/>
              <w:bottom w:val="single" w:sz="4" w:space="0" w:color="000000"/>
            </w:tcBorders>
            <w:shd w:val="clear" w:color="auto" w:fill="F2F2F2"/>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1.057,41</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66"/>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Gozdnica</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1.154,62</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napToGrid w:val="0"/>
              <w:spacing w:after="0" w:line="240" w:lineRule="auto"/>
              <w:jc w:val="center"/>
              <w:rPr>
                <w:rFonts w:ascii="Times New Roman" w:hAnsi="Times New Roman" w:cs="Times New Roman"/>
              </w:rPr>
            </w:pPr>
          </w:p>
          <w:p w:rsidR="00294BD0" w:rsidRDefault="00294BD0">
            <w:pPr>
              <w:spacing w:after="0" w:line="240" w:lineRule="auto"/>
              <w:jc w:val="center"/>
              <w:rPr>
                <w:rFonts w:ascii="Times New Roman" w:hAnsi="Times New Roman" w:cs="Times New Roman"/>
              </w:rPr>
            </w:pPr>
          </w:p>
          <w:p w:rsidR="00294BD0" w:rsidRDefault="00294BD0">
            <w:pPr>
              <w:spacing w:after="0" w:line="240" w:lineRule="auto"/>
              <w:jc w:val="center"/>
              <w:rPr>
                <w:rFonts w:ascii="Times New Roman" w:hAnsi="Times New Roman" w:cs="Times New Roman"/>
              </w:rPr>
            </w:pPr>
          </w:p>
          <w:p w:rsidR="00294BD0" w:rsidRDefault="00294BD0">
            <w:pPr>
              <w:spacing w:after="0" w:line="240" w:lineRule="auto"/>
              <w:jc w:val="center"/>
              <w:rPr>
                <w:rFonts w:ascii="Times New Roman" w:hAnsi="Times New Roman" w:cs="Times New Roman"/>
              </w:rPr>
            </w:pPr>
          </w:p>
          <w:p w:rsidR="00294BD0" w:rsidRDefault="00294BD0">
            <w:pPr>
              <w:spacing w:after="0" w:line="240" w:lineRule="auto"/>
              <w:jc w:val="center"/>
              <w:rPr>
                <w:rFonts w:ascii="Times New Roman" w:hAnsi="Times New Roman" w:cs="Times New Roman"/>
              </w:rPr>
            </w:pPr>
            <w:r>
              <w:rPr>
                <w:rFonts w:ascii="Times New Roman" w:hAnsi="Times New Roman" w:cs="Times New Roman"/>
              </w:rPr>
              <w:t>1.281,90 zł</w:t>
            </w:r>
          </w:p>
          <w:p w:rsidR="00294BD0" w:rsidRDefault="00294BD0">
            <w:pPr>
              <w:spacing w:after="0" w:line="240" w:lineRule="auto"/>
              <w:jc w:val="center"/>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Żagań gm. wiejska</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1.862,75</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66"/>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Iłowa</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1.135,27</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Małomice</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879,76</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Wymiarki</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1.259,00</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Przewóz</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1.509,89</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Żary gm. wiejska</w:t>
            </w:r>
          </w:p>
        </w:tc>
        <w:tc>
          <w:tcPr>
            <w:tcW w:w="293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1.172,02</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rPr>
            </w:pPr>
          </w:p>
        </w:tc>
      </w:tr>
      <w:tr w:rsidR="00294BD0">
        <w:trPr>
          <w:trHeight w:val="379"/>
        </w:trPr>
        <w:tc>
          <w:tcPr>
            <w:tcW w:w="326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Średni dochód podatkowy dla gmin wchodzących w skład LGD</w:t>
            </w:r>
          </w:p>
        </w:tc>
        <w:tc>
          <w:tcPr>
            <w:tcW w:w="293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1.284,64</w:t>
            </w:r>
          </w:p>
        </w:tc>
        <w:tc>
          <w:tcPr>
            <w:tcW w:w="3057"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pPr>
            <w:r>
              <w:rPr>
                <w:rFonts w:ascii="Times New Roman" w:hAnsi="Times New Roman" w:cs="Times New Roman"/>
                <w:b/>
              </w:rPr>
              <w:t>1.284,64</w:t>
            </w:r>
          </w:p>
        </w:tc>
      </w:tr>
    </w:tbl>
    <w:p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12 - Wskaźniki dochodu podatkowego dla poszczególnych gmin na 2015.  Źródło – Ministerstwo</w:t>
      </w:r>
    </w:p>
    <w:p w:rsidR="00294BD0" w:rsidRDefault="00294BD0">
      <w:pPr>
        <w:spacing w:after="0" w:line="240" w:lineRule="auto"/>
        <w:rPr>
          <w:rFonts w:ascii="Times New Roman" w:hAnsi="Times New Roman" w:cs="Times New Roman"/>
        </w:rPr>
      </w:pPr>
      <w:r>
        <w:rPr>
          <w:rFonts w:ascii="Times New Roman" w:hAnsi="Times New Roman" w:cs="Times New Roman"/>
          <w:i/>
        </w:rPr>
        <w:t xml:space="preserve">          Finansów)</w:t>
      </w:r>
    </w:p>
    <w:p w:rsidR="00294BD0" w:rsidRDefault="00294BD0">
      <w:pPr>
        <w:spacing w:after="0" w:line="240" w:lineRule="auto"/>
        <w:rPr>
          <w:rFonts w:ascii="Times New Roman" w:hAnsi="Times New Roman" w:cs="Times New Roman"/>
        </w:rPr>
      </w:pP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Pomimo rozwoju sektora gospodarczego w regionie dochód podatkowy gminy na 1 mieszkańca kształtuje się poniżej średniej wojewódzkiej zarówno po stronie województwa lubuskiego jak i województwa dolnośląskiego.</w:t>
      </w:r>
    </w:p>
    <w:p w:rsidR="00294BD0" w:rsidRDefault="00294BD0">
      <w:pPr>
        <w:spacing w:after="0" w:line="240" w:lineRule="auto"/>
        <w:ind w:left="284"/>
        <w:jc w:val="both"/>
        <w:rPr>
          <w:rFonts w:ascii="Times New Roman" w:hAnsi="Times New Roman" w:cs="Times New Roman"/>
        </w:rPr>
      </w:pP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Średni dochód podatkowy dla województwa lubuskiego, w którym znajduje się siedziba LGD w przeliczeniu na jednego mieszkańca wynosi 1.343,08 zł i jest wyższy od średniego poziomu dochodu podatkowego dla całego LGD o 58,44 zł.</w:t>
      </w: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 xml:space="preserve">Średni dochód podatkowy dla województwa dolnośląskiego w przeliczeniu na jednego mieszkańca wynosi </w:t>
      </w:r>
      <w:r>
        <w:rPr>
          <w:rFonts w:ascii="Times New Roman" w:hAnsi="Times New Roman" w:cs="Times New Roman"/>
          <w:sz w:val="24"/>
          <w:szCs w:val="24"/>
        </w:rPr>
        <w:t>1429,54</w:t>
      </w:r>
      <w:r>
        <w:rPr>
          <w:rFonts w:ascii="Times New Roman" w:hAnsi="Times New Roman" w:cs="Times New Roman"/>
        </w:rPr>
        <w:t xml:space="preserve"> i jest wyższy od średniego poziomu dochodu podatkowego dla całego LGD o 144,90 zł.</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Średni dochód podatkowy dla 7 gmin LGD wchodzących w skład województwa lubuskiego wynosi 1281,90 zł i jest również niższy o 91,18 zł, a średni dochód podatkowy 3 gmin LGD wchodzących w skład województwa dolnośląskiego wynosi 1291,02 zł i jest niższy o 147,03 zł.</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numPr>
          <w:ilvl w:val="0"/>
          <w:numId w:val="27"/>
        </w:numPr>
        <w:tabs>
          <w:tab w:val="left" w:pos="284"/>
        </w:tabs>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Opis rynku pracy</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Nieco innych danych zastanych, dostarczają źródła Głównego Urzędu Statystycznego, które pozwalają na określenie stopy bezrobocia, a dzięki temu poziomu dostępu do rynku pracy. Z analizy tej wynika, że średni poziom bezrobocia w regionie pomimo tego, że odnotowuje stopniowy spadek, to jednak nadal jest wyższy od średniej dla województwa lubuskiego oraz województwa dolnośląskiego. W porównaniu do roku 2007 średni krajowy poziom bezrobocia kształtował się na poziomie 12%, gdy już średnia dla województwa lubuskiego wynosiła 15% a dla województwa dolnośląskiego 14,6%. Dla porównania w tym samym okresie średni poziom bezrobocia dla powiatu żagańskiego kształtował się już na poziomie 23,9%, powiatu żarskiego 18,3%, powiatu bolesławickiego 13,8% a powiatu zgorzeleckiego 12,8%. Po upływie 6 lat sytuacja na rynku pracy poprawiła się, lecz nadal pozostawia wiele do życzenia. Konieczne są działania stymulujące rozwój przedsiębiorczości na obszarze Borów Dolnośląskich oraz te ukierunkowane na generowanie nowych miejsc pracy i utrzymywanie tych już istniejących. Element ten stanowić będzie jeden z celów głównych Strategii. Obecną sytuację przedstawia poniższa tabela.</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2312"/>
        <w:gridCol w:w="1023"/>
        <w:gridCol w:w="1026"/>
        <w:gridCol w:w="1023"/>
        <w:gridCol w:w="14"/>
        <w:gridCol w:w="1013"/>
        <w:gridCol w:w="1065"/>
        <w:gridCol w:w="1474"/>
      </w:tblGrid>
      <w:tr w:rsidR="00294BD0">
        <w:trPr>
          <w:trHeight w:val="785"/>
        </w:trPr>
        <w:tc>
          <w:tcPr>
            <w:tcW w:w="2312" w:type="dxa"/>
            <w:vMerge w:val="restart"/>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2049" w:type="dxa"/>
            <w:gridSpan w:val="2"/>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Bezrobotni</w:t>
            </w:r>
          </w:p>
        </w:tc>
        <w:tc>
          <w:tcPr>
            <w:tcW w:w="2050" w:type="dxa"/>
            <w:gridSpan w:val="3"/>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Liczba osób w wieku produkcyjnym</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pPr>
            <w:r>
              <w:rPr>
                <w:rFonts w:ascii="Times New Roman" w:hAnsi="Times New Roman" w:cs="Times New Roman"/>
                <w:b/>
              </w:rPr>
              <w:t>Udział bezrobotnych zarejestrowanych w liczbie ludności w wieku produkcyjnym wyrażony w %</w:t>
            </w:r>
          </w:p>
        </w:tc>
      </w:tr>
      <w:tr w:rsidR="00294BD0">
        <w:trPr>
          <w:trHeight w:val="785"/>
        </w:trPr>
        <w:tc>
          <w:tcPr>
            <w:tcW w:w="2312"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hAnsi="Times New Roman" w:cs="Times New Roman"/>
                <w:b/>
              </w:rPr>
            </w:pPr>
          </w:p>
        </w:tc>
        <w:tc>
          <w:tcPr>
            <w:tcW w:w="1023" w:type="dxa"/>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Ogółem</w:t>
            </w:r>
          </w:p>
        </w:tc>
        <w:tc>
          <w:tcPr>
            <w:tcW w:w="1026" w:type="dxa"/>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Kobiety</w:t>
            </w:r>
          </w:p>
        </w:tc>
        <w:tc>
          <w:tcPr>
            <w:tcW w:w="1023" w:type="dxa"/>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Ogółem</w:t>
            </w:r>
          </w:p>
        </w:tc>
        <w:tc>
          <w:tcPr>
            <w:tcW w:w="1027" w:type="dxa"/>
            <w:gridSpan w:val="2"/>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jc w:val="center"/>
              <w:rPr>
                <w:rFonts w:ascii="Times New Roman" w:hAnsi="Times New Roman" w:cs="Times New Roman"/>
                <w:b/>
              </w:rPr>
            </w:pP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Kobiety</w:t>
            </w:r>
          </w:p>
        </w:tc>
        <w:tc>
          <w:tcPr>
            <w:tcW w:w="106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W. lubuskie</w:t>
            </w:r>
          </w:p>
          <w:p w:rsidR="00294BD0" w:rsidRDefault="00294BD0">
            <w:pPr>
              <w:spacing w:after="0" w:line="240" w:lineRule="auto"/>
              <w:jc w:val="center"/>
              <w:rPr>
                <w:rFonts w:ascii="Times New Roman" w:hAnsi="Times New Roman" w:cs="Times New Roman"/>
                <w:b/>
              </w:rPr>
            </w:pPr>
            <w:r>
              <w:rPr>
                <w:rFonts w:ascii="Times New Roman" w:hAnsi="Times New Roman" w:cs="Times New Roman"/>
                <w:b/>
              </w:rPr>
              <w:t>średnia 9,1%</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W. dolnośląskie</w:t>
            </w:r>
          </w:p>
          <w:p w:rsidR="00294BD0" w:rsidRDefault="00294BD0">
            <w:pPr>
              <w:spacing w:after="0" w:line="240" w:lineRule="auto"/>
              <w:jc w:val="center"/>
            </w:pPr>
            <w:r>
              <w:rPr>
                <w:rFonts w:ascii="Times New Roman" w:hAnsi="Times New Roman" w:cs="Times New Roman"/>
                <w:b/>
              </w:rPr>
              <w:t>średnia 8,2%</w:t>
            </w:r>
          </w:p>
        </w:tc>
      </w:tr>
      <w:tr w:rsidR="00294BD0">
        <w:trPr>
          <w:trHeight w:val="362"/>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Gmina Żary</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531</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297</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8.047</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3.757</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6,6</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Pieńsk</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524</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277</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6.099</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2.808</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8,6</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Węgliniec</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483</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252</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5.654</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2.563</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8,5</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Osiecznica</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387</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214</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4.899</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2.232</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7,9</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Iłowa</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548</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313</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4.548</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2.121</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12,0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512"/>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Gmina Żagań</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478</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261</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4.748</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2.166</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10,1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Małomice</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404</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218</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3.456</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1.551</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11,7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Gozdnica</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300</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183</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2.116</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981</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14,2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Przewóz</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220</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130</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2.115</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962</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10,4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56"/>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rPr>
            </w:pPr>
            <w:r>
              <w:rPr>
                <w:rFonts w:ascii="Times New Roman" w:hAnsi="Times New Roman" w:cs="Times New Roman"/>
              </w:rPr>
              <w:t>Wymiarki</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233</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124</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1.589</w:t>
            </w:r>
          </w:p>
        </w:tc>
        <w:tc>
          <w:tcPr>
            <w:tcW w:w="102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738</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rPr>
            </w:pPr>
            <w:r>
              <w:rPr>
                <w:rFonts w:ascii="Times New Roman" w:hAnsi="Times New Roman" w:cs="Times New Roman"/>
              </w:rPr>
              <w:t>14,7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rPr>
              <w:t>-</w:t>
            </w:r>
          </w:p>
        </w:tc>
      </w:tr>
      <w:tr w:rsidR="00294BD0">
        <w:trPr>
          <w:trHeight w:val="273"/>
        </w:trPr>
        <w:tc>
          <w:tcPr>
            <w:tcW w:w="23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b/>
              </w:rPr>
            </w:pPr>
            <w:r>
              <w:rPr>
                <w:rFonts w:ascii="Times New Roman" w:hAnsi="Times New Roman" w:cs="Times New Roman"/>
                <w:b/>
              </w:rPr>
              <w:t>RAZEM</w:t>
            </w:r>
          </w:p>
        </w:tc>
        <w:tc>
          <w:tcPr>
            <w:tcW w:w="102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4.108</w:t>
            </w:r>
          </w:p>
        </w:tc>
        <w:tc>
          <w:tcPr>
            <w:tcW w:w="10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2.269</w:t>
            </w:r>
          </w:p>
        </w:tc>
        <w:tc>
          <w:tcPr>
            <w:tcW w:w="1037"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43.271</w:t>
            </w:r>
          </w:p>
        </w:tc>
        <w:tc>
          <w:tcPr>
            <w:tcW w:w="1013"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19.879</w:t>
            </w:r>
          </w:p>
        </w:tc>
        <w:tc>
          <w:tcPr>
            <w:tcW w:w="106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hAnsi="Times New Roman" w:cs="Times New Roman"/>
                <w:b/>
              </w:rPr>
            </w:pPr>
            <w:r>
              <w:rPr>
                <w:rFonts w:ascii="Times New Roman" w:hAnsi="Times New Roman" w:cs="Times New Roman"/>
                <w:b/>
              </w:rPr>
              <w:t>11,39</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b/>
              </w:rPr>
              <w:t>8,33</w:t>
            </w:r>
          </w:p>
        </w:tc>
      </w:tr>
    </w:tbl>
    <w:p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13 - Dane dotyczące liczby bezrobotnych i osób w wieku produkcyjnym Stan na dzień 31.12.2013r. </w:t>
      </w:r>
    </w:p>
    <w:p w:rsidR="00294BD0" w:rsidRDefault="00294BD0">
      <w:pPr>
        <w:spacing w:after="0" w:line="240" w:lineRule="auto"/>
        <w:rPr>
          <w:rFonts w:ascii="Times New Roman" w:hAnsi="Times New Roman" w:cs="Times New Roman"/>
        </w:rPr>
      </w:pPr>
      <w:r>
        <w:rPr>
          <w:rFonts w:ascii="Times New Roman" w:hAnsi="Times New Roman" w:cs="Times New Roman"/>
          <w:i/>
        </w:rPr>
        <w:t xml:space="preserve">                Źródło - dane z GUS/BDL)</w:t>
      </w:r>
    </w:p>
    <w:p w:rsidR="00294BD0" w:rsidRDefault="00294BD0">
      <w:pPr>
        <w:spacing w:after="0" w:line="240" w:lineRule="auto"/>
        <w:jc w:val="both"/>
        <w:rPr>
          <w:rFonts w:ascii="Times New Roman" w:hAnsi="Times New Roman" w:cs="Times New Roman"/>
        </w:rPr>
      </w:pP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Stosunek liczby bezrobotnych w gminach objętych działaniem LGD w stosunku do liczby ludności w wieku produkcyjnym wyrażona w % wynosi 9,49% i jest wyższy od średniego dla województwa lubuskiego o 0,39%</w:t>
      </w:r>
    </w:p>
    <w:p w:rsidR="00294BD0" w:rsidRDefault="00294BD0">
      <w:pPr>
        <w:spacing w:after="0" w:line="240" w:lineRule="auto"/>
        <w:ind w:left="284"/>
        <w:rPr>
          <w:rFonts w:ascii="Times New Roman" w:hAnsi="Times New Roman" w:cs="Times New Roman"/>
        </w:rPr>
      </w:pPr>
      <w:r>
        <w:rPr>
          <w:rFonts w:ascii="Times New Roman" w:hAnsi="Times New Roman" w:cs="Times New Roman"/>
        </w:rPr>
        <w:t>Liczba bezrobotnych w województwie lubuskim – 59 805</w:t>
      </w:r>
    </w:p>
    <w:p w:rsidR="00294BD0" w:rsidRDefault="00294BD0">
      <w:pPr>
        <w:spacing w:after="0" w:line="240" w:lineRule="auto"/>
        <w:ind w:left="284"/>
        <w:rPr>
          <w:rFonts w:ascii="Times New Roman" w:hAnsi="Times New Roman" w:cs="Times New Roman"/>
        </w:rPr>
      </w:pPr>
      <w:r>
        <w:rPr>
          <w:rFonts w:ascii="Times New Roman" w:hAnsi="Times New Roman" w:cs="Times New Roman"/>
        </w:rPr>
        <w:t>Liczba bezrobotnych w województwie dolnośląskim – 153 558</w:t>
      </w:r>
    </w:p>
    <w:p w:rsidR="00294BD0" w:rsidRDefault="00294BD0">
      <w:pPr>
        <w:spacing w:after="0" w:line="240" w:lineRule="auto"/>
        <w:ind w:left="284"/>
        <w:rPr>
          <w:rFonts w:ascii="Times New Roman" w:hAnsi="Times New Roman" w:cs="Times New Roman"/>
        </w:rPr>
      </w:pPr>
      <w:r>
        <w:rPr>
          <w:rFonts w:ascii="Times New Roman" w:hAnsi="Times New Roman" w:cs="Times New Roman"/>
        </w:rPr>
        <w:t>Ludność w wieku produkcyjnym w województwie lubuskim – 657 450</w:t>
      </w:r>
    </w:p>
    <w:p w:rsidR="00294BD0" w:rsidRDefault="00294BD0">
      <w:pPr>
        <w:spacing w:after="0" w:line="240" w:lineRule="auto"/>
        <w:ind w:left="284"/>
        <w:rPr>
          <w:rFonts w:ascii="Times New Roman" w:hAnsi="Times New Roman" w:cs="Times New Roman"/>
        </w:rPr>
      </w:pPr>
      <w:r>
        <w:rPr>
          <w:rFonts w:ascii="Times New Roman" w:hAnsi="Times New Roman" w:cs="Times New Roman"/>
        </w:rPr>
        <w:t xml:space="preserve">Ludność w wieku produkcyjnym w województwie dolnośląskim – </w:t>
      </w:r>
      <w:r>
        <w:rPr>
          <w:rFonts w:ascii="Times New Roman" w:hAnsi="Times New Roman" w:cs="Times New Roman"/>
          <w:color w:val="000000"/>
          <w:shd w:val="clear" w:color="auto" w:fill="FFFFFF"/>
        </w:rPr>
        <w:t>1 867 285</w:t>
      </w:r>
    </w:p>
    <w:p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Stosunek liczby bezrobotnych w województwie lubuskim do ludności w wieku produkcyjnym wyrażona w % wynosi 9,1 %</w:t>
      </w:r>
    </w:p>
    <w:p w:rsidR="00294BD0" w:rsidRDefault="00294BD0">
      <w:pPr>
        <w:spacing w:after="0" w:line="240" w:lineRule="auto"/>
        <w:ind w:left="284"/>
        <w:jc w:val="both"/>
        <w:rPr>
          <w:rFonts w:ascii="Times New Roman" w:hAnsi="Times New Roman" w:cs="Times New Roman"/>
          <w:color w:val="000000"/>
          <w:shd w:val="clear" w:color="auto" w:fill="FFF7E0"/>
        </w:rPr>
      </w:pPr>
      <w:r>
        <w:rPr>
          <w:rFonts w:ascii="Times New Roman" w:hAnsi="Times New Roman" w:cs="Times New Roman"/>
        </w:rPr>
        <w:t>Stosunek liczby bezrobotnych w województwie dolnośląskim do ludności w wieku produkcyjnym wyrażona w % wynosi 8,2 %</w:t>
      </w:r>
    </w:p>
    <w:p w:rsidR="00294BD0" w:rsidRDefault="00294BD0">
      <w:pPr>
        <w:spacing w:after="0" w:line="240" w:lineRule="auto"/>
        <w:ind w:left="284"/>
        <w:jc w:val="both"/>
        <w:rPr>
          <w:rFonts w:ascii="Times New Roman" w:hAnsi="Times New Roman" w:cs="Times New Roman"/>
          <w:color w:val="000000"/>
          <w:shd w:val="clear" w:color="auto" w:fill="FFF7E0"/>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Udział bezrobotnych kobiet na dzień 31.12.2013 roku kształtuje się na poziomie 55,23%. Największy stopień bezrobocia wśród kobiet występuje w gminie Gozdnica, a najmniejszy w Gminie Węgliniec, jednak zawsze przekracza on 50%. Biorąc pod uwagę współczynnik feminizacji i wyższy udział kobiet w grupie bezrobotnych wyłania nam się kolejna kategoria osób wymagająca wsparcia. Bezrobocie wśród kobiet w podziale na poszczególne lata zostało przedstawione w poniższej tabeli.</w:t>
      </w:r>
    </w:p>
    <w:p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385"/>
        <w:gridCol w:w="1276"/>
        <w:gridCol w:w="992"/>
        <w:gridCol w:w="851"/>
        <w:gridCol w:w="838"/>
        <w:gridCol w:w="8"/>
        <w:gridCol w:w="851"/>
        <w:gridCol w:w="712"/>
        <w:gridCol w:w="851"/>
        <w:gridCol w:w="850"/>
        <w:gridCol w:w="881"/>
      </w:tblGrid>
      <w:tr w:rsidR="00294BD0">
        <w:trPr>
          <w:trHeight w:val="592"/>
        </w:trPr>
        <w:tc>
          <w:tcPr>
            <w:tcW w:w="2661"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Bezrobocie wśród kobiet</w:t>
            </w:r>
          </w:p>
        </w:tc>
        <w:tc>
          <w:tcPr>
            <w:tcW w:w="992"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838"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9"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rsidR="00294BD0" w:rsidRDefault="00294BD0">
            <w:pPr>
              <w:spacing w:after="0" w:line="240" w:lineRule="auto"/>
            </w:pPr>
            <w:r>
              <w:rPr>
                <w:rFonts w:ascii="Times New Roman" w:eastAsia="Times New Roman" w:hAnsi="Times New Roman" w:cs="Times New Roman"/>
                <w:b/>
                <w:color w:val="000000"/>
              </w:rPr>
              <w:t>2013</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Gozdnica</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183</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55,53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62,66</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45,85</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56,22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61,00</w:t>
            </w:r>
          </w:p>
        </w:tc>
      </w:tr>
      <w:tr w:rsidR="00294BD0">
        <w:trPr>
          <w:trHeight w:val="255"/>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Iłowa</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331</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313</w:t>
            </w:r>
          </w:p>
        </w:tc>
      </w:tr>
      <w:tr w:rsidR="00294BD0">
        <w:trPr>
          <w:trHeight w:val="255"/>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52,52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55,35</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61,52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53,29</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55,45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59,75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57,12</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Małomice</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234</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218</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50,46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53,75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48,22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51,71</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53,96</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Wymiarki</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124</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56,48</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59,89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54,40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63,05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60,37</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53,22</w:t>
            </w:r>
          </w:p>
        </w:tc>
      </w:tr>
      <w:tr w:rsidR="00294BD0">
        <w:trPr>
          <w:trHeight w:val="435"/>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Żagań</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261</w:t>
            </w:r>
          </w:p>
        </w:tc>
      </w:tr>
      <w:tr w:rsidR="00294BD0">
        <w:trPr>
          <w:trHeight w:val="435"/>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55,17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62,31</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57,27</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58,91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59,19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54,60</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Przewóz</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130</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73,31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74,18</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67,42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58,33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59,59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59,09</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Żary</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244</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305</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297</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64,59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67,03</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62,33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53,23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56,86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57,97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57,59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55,93</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Osiecznica</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235</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214</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59,90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61,36</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58,41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54,77</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60,78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55,30</w:t>
            </w:r>
          </w:p>
        </w:tc>
      </w:tr>
      <w:tr w:rsidR="00294BD0">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Pieńsk</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294</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277</w:t>
            </w:r>
          </w:p>
        </w:tc>
      </w:tr>
      <w:tr w:rsidR="00294BD0">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56,13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60,25</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52,83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56,81</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54,17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57,47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54,75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52,86</w:t>
            </w:r>
          </w:p>
        </w:tc>
      </w:tr>
      <w:tr w:rsidR="00294BD0">
        <w:trPr>
          <w:trHeight w:val="300"/>
        </w:trPr>
        <w:tc>
          <w:tcPr>
            <w:tcW w:w="1385"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Węgliniec</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252</w:t>
            </w:r>
          </w:p>
        </w:tc>
      </w:tr>
      <w:tr w:rsidR="00294BD0">
        <w:trPr>
          <w:trHeight w:val="300"/>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65,74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63,39</w:t>
            </w:r>
          </w:p>
        </w:tc>
        <w:tc>
          <w:tcPr>
            <w:tcW w:w="84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62,25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55,38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53,69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52,17</w:t>
            </w:r>
          </w:p>
        </w:tc>
      </w:tr>
      <w:tr w:rsidR="00294BD0">
        <w:trPr>
          <w:trHeight w:val="281"/>
        </w:trPr>
        <w:tc>
          <w:tcPr>
            <w:tcW w:w="2661"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 wyrażona w %</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58,44</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60,83</w:t>
            </w:r>
          </w:p>
        </w:tc>
        <w:tc>
          <w:tcPr>
            <w:tcW w:w="838"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58,88</w:t>
            </w:r>
          </w:p>
        </w:tc>
        <w:tc>
          <w:tcPr>
            <w:tcW w:w="859"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54,08</w:t>
            </w:r>
          </w:p>
        </w:tc>
        <w:tc>
          <w:tcPr>
            <w:tcW w:w="71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55,75</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57,42</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55,34</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both"/>
            </w:pPr>
            <w:r>
              <w:rPr>
                <w:rFonts w:ascii="Times New Roman" w:eastAsia="Times New Roman" w:hAnsi="Times New Roman" w:cs="Times New Roman"/>
                <w:b/>
                <w:color w:val="000000"/>
              </w:rPr>
              <w:t>55,23</w:t>
            </w:r>
          </w:p>
        </w:tc>
      </w:tr>
    </w:tbl>
    <w:p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(Tabela nr 14 – Liczba bezrobotnych kobiet. Źródło - dane z GUS/BDL)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Podobnie kształtuje się udział kobiet w stopie bezrobocia w powiatach i województwach, do których należą gminy wchodzące w skład LGD. Największy odsetek bezrobotnych występuje w przedziale wiekowym 25-34 lata i 35-44 lata. Warto podkreślić, że w każdej grupie ponad 50% stanowią kobiety. Dane na temat poziomu bezrobocia według płci i wieku, stan na 31.12.2013 roku, przedstawiają się następująco:</w:t>
      </w:r>
    </w:p>
    <w:p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385"/>
        <w:gridCol w:w="1134"/>
        <w:gridCol w:w="1134"/>
        <w:gridCol w:w="1134"/>
        <w:gridCol w:w="1276"/>
        <w:gridCol w:w="1134"/>
        <w:gridCol w:w="1134"/>
        <w:gridCol w:w="1164"/>
      </w:tblGrid>
      <w:tr w:rsidR="00294BD0">
        <w:trPr>
          <w:trHeight w:val="947"/>
        </w:trPr>
        <w:tc>
          <w:tcPr>
            <w:tcW w:w="2519" w:type="dxa"/>
            <w:gridSpan w:val="2"/>
            <w:tcBorders>
              <w:top w:val="single" w:sz="4" w:space="0" w:color="000000"/>
              <w:left w:val="single" w:sz="4" w:space="0" w:color="000000"/>
              <w:bottom w:val="single" w:sz="4" w:space="0" w:color="000000"/>
            </w:tcBorders>
            <w:shd w:val="clear" w:color="auto" w:fill="auto"/>
          </w:tcPr>
          <w:p w:rsidR="00294BD0" w:rsidRDefault="00294BD0">
            <w:pPr>
              <w:snapToGrid w:val="0"/>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Żagański</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Żarski</w:t>
            </w:r>
          </w:p>
        </w:tc>
        <w:tc>
          <w:tcPr>
            <w:tcW w:w="1276"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Bolesławiecki</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Zgorzelecki</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Woj.</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Lubuskie</w:t>
            </w:r>
          </w:p>
          <w:p w:rsidR="00294BD0" w:rsidRDefault="00294BD0">
            <w:pPr>
              <w:spacing w:after="0" w:line="240" w:lineRule="auto"/>
              <w:jc w:val="center"/>
              <w:rPr>
                <w:rFonts w:ascii="Times New Roman" w:eastAsia="Times New Roman" w:hAnsi="Times New Roman" w:cs="Times New Roman"/>
                <w:b/>
                <w:color w:val="000000"/>
              </w:rPr>
            </w:pP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Woj.</w:t>
            </w:r>
          </w:p>
          <w:p w:rsidR="00294BD0" w:rsidRDefault="00294BD0">
            <w:pPr>
              <w:spacing w:after="0" w:line="240" w:lineRule="auto"/>
              <w:jc w:val="center"/>
            </w:pPr>
            <w:r>
              <w:rPr>
                <w:rFonts w:ascii="Times New Roman" w:eastAsia="Times New Roman" w:hAnsi="Times New Roman" w:cs="Times New Roman"/>
                <w:b/>
                <w:color w:val="000000"/>
              </w:rPr>
              <w:t>Dolnośląskie</w:t>
            </w:r>
          </w:p>
        </w:tc>
      </w:tr>
      <w:tr w:rsidR="00294BD0">
        <w:trPr>
          <w:trHeight w:val="339"/>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Liczba bezrobotnych</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5 986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5 547</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4 666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4 000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59 805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153 558</w:t>
            </w:r>
          </w:p>
        </w:tc>
      </w:tr>
      <w:tr w:rsidR="00294BD0">
        <w:trPr>
          <w:trHeight w:val="547"/>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3 346</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(55,90%)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2 984</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(53,80%)</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2 559</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(54,84%)</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2 069</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(51,73%)</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31 580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(52,80%)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77 794</w:t>
            </w:r>
          </w:p>
          <w:p w:rsidR="00294BD0" w:rsidRDefault="00294BD0">
            <w:pPr>
              <w:spacing w:after="0" w:line="240" w:lineRule="auto"/>
              <w:jc w:val="center"/>
            </w:pPr>
            <w:r>
              <w:rPr>
                <w:rFonts w:ascii="Times New Roman" w:eastAsia="Times New Roman" w:hAnsi="Times New Roman" w:cs="Times New Roman"/>
                <w:color w:val="000000"/>
              </w:rPr>
              <w:t>(50,66%)</w:t>
            </w:r>
          </w:p>
        </w:tc>
      </w:tr>
      <w:tr w:rsidR="00294BD0">
        <w:trPr>
          <w:trHeight w:val="579"/>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24 lata i mniej</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996</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(16,64%)</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1 020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(18,39%)</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772</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(16,55%)</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713</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(17,83%)</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10 150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23 092</w:t>
            </w:r>
          </w:p>
          <w:p w:rsidR="00294BD0" w:rsidRDefault="00294BD0">
            <w:pPr>
              <w:spacing w:after="0" w:line="240" w:lineRule="auto"/>
              <w:jc w:val="center"/>
            </w:pPr>
            <w:r>
              <w:rPr>
                <w:rFonts w:ascii="Times New Roman" w:eastAsia="Times New Roman" w:hAnsi="Times New Roman" w:cs="Times New Roman"/>
                <w:color w:val="000000"/>
              </w:rPr>
              <w:t>(15,04%)</w:t>
            </w:r>
          </w:p>
        </w:tc>
      </w:tr>
      <w:tr w:rsidR="00294BD0">
        <w:trPr>
          <w:trHeight w:val="234"/>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614</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594</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395</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5 658</w:t>
            </w:r>
          </w:p>
          <w:p w:rsidR="00294BD0" w:rsidRDefault="00294BD0">
            <w:pPr>
              <w:spacing w:after="0" w:line="240" w:lineRule="auto"/>
              <w:jc w:val="center"/>
              <w:rPr>
                <w:rFonts w:ascii="Times New Roman" w:eastAsia="Times New Roman" w:hAnsi="Times New Roman" w:cs="Times New Roman"/>
                <w:color w:val="00000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12 900</w:t>
            </w:r>
          </w:p>
          <w:p w:rsidR="00294BD0" w:rsidRDefault="00294BD0">
            <w:pPr>
              <w:spacing w:after="0" w:line="240" w:lineRule="auto"/>
              <w:jc w:val="center"/>
              <w:rPr>
                <w:rFonts w:ascii="Times New Roman" w:eastAsia="Times New Roman" w:hAnsi="Times New Roman" w:cs="Times New Roman"/>
                <w:color w:val="000000"/>
              </w:rPr>
            </w:pPr>
          </w:p>
        </w:tc>
      </w:tr>
      <w:tr w:rsidR="00294BD0">
        <w:trPr>
          <w:trHeight w:val="497"/>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25-34 lat</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1 697</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(28,35%)</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1 550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(27,94%)</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1 221</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(26,17%)</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1 131</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(28,28%)</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16 634</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41 383</w:t>
            </w:r>
          </w:p>
          <w:p w:rsidR="00294BD0" w:rsidRDefault="00294BD0">
            <w:pPr>
              <w:spacing w:after="0" w:line="240" w:lineRule="auto"/>
              <w:jc w:val="center"/>
            </w:pPr>
            <w:r>
              <w:rPr>
                <w:rFonts w:ascii="Times New Roman" w:eastAsia="Times New Roman" w:hAnsi="Times New Roman" w:cs="Times New Roman"/>
                <w:color w:val="000000"/>
              </w:rPr>
              <w:t>(26,95%)</w:t>
            </w:r>
          </w:p>
        </w:tc>
      </w:tr>
      <w:tr w:rsidR="00294BD0">
        <w:trPr>
          <w:trHeight w:val="375"/>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1 066</w:t>
            </w:r>
          </w:p>
          <w:p w:rsidR="00294BD0" w:rsidRDefault="00294BD0">
            <w:pPr>
              <w:spacing w:after="0" w:line="240" w:lineRule="auto"/>
              <w:jc w:val="center"/>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1 007</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788</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10 235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24 383</w:t>
            </w:r>
          </w:p>
        </w:tc>
      </w:tr>
      <w:tr w:rsidR="00294BD0">
        <w:trPr>
          <w:trHeight w:val="570"/>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35-44 lat</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1 287</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(21,50%)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1 113</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(20,07%)</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891</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744</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12 158</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(20,33%)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30 960</w:t>
            </w:r>
          </w:p>
          <w:p w:rsidR="00294BD0" w:rsidRDefault="00294BD0">
            <w:pPr>
              <w:spacing w:after="0" w:line="240" w:lineRule="auto"/>
              <w:jc w:val="center"/>
            </w:pPr>
            <w:r>
              <w:rPr>
                <w:rFonts w:ascii="Times New Roman" w:eastAsia="Times New Roman" w:hAnsi="Times New Roman" w:cs="Times New Roman"/>
                <w:color w:val="000000"/>
              </w:rPr>
              <w:t>(20,16%)</w:t>
            </w:r>
          </w:p>
        </w:tc>
      </w:tr>
      <w:tr w:rsidR="00294BD0">
        <w:trPr>
          <w:trHeight w:val="438"/>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662</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517</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6 931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16 821</w:t>
            </w:r>
          </w:p>
        </w:tc>
      </w:tr>
      <w:tr w:rsidR="00294BD0">
        <w:trPr>
          <w:trHeight w:val="548"/>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45-55 lat</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1 146</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(19,14%)</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1 025</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(18,48%)</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993</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11 494</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30 184</w:t>
            </w:r>
          </w:p>
          <w:p w:rsidR="00294BD0" w:rsidRDefault="00294BD0">
            <w:pPr>
              <w:spacing w:after="0" w:line="240" w:lineRule="auto"/>
              <w:jc w:val="center"/>
            </w:pPr>
            <w:r>
              <w:rPr>
                <w:rFonts w:ascii="Times New Roman" w:eastAsia="Times New Roman" w:hAnsi="Times New Roman" w:cs="Times New Roman"/>
                <w:color w:val="000000"/>
              </w:rPr>
              <w:t>(19,66%)</w:t>
            </w:r>
          </w:p>
        </w:tc>
      </w:tr>
      <w:tr w:rsidR="00294BD0">
        <w:trPr>
          <w:trHeight w:val="425"/>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587</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483</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5 669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14 597</w:t>
            </w:r>
          </w:p>
        </w:tc>
      </w:tr>
      <w:tr w:rsidR="00294BD0">
        <w:trPr>
          <w:trHeight w:val="548"/>
        </w:trPr>
        <w:tc>
          <w:tcPr>
            <w:tcW w:w="1385" w:type="dxa"/>
            <w:vMerge w:val="restart"/>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55 i więcej</w:t>
            </w: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860</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(14,37%)</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839</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(15,12%)</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789</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(16,91%)</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692</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(17,30%)</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9 369</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(15,67%)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27 939</w:t>
            </w:r>
          </w:p>
          <w:p w:rsidR="00294BD0" w:rsidRDefault="00294BD0">
            <w:pPr>
              <w:spacing w:after="0" w:line="240" w:lineRule="auto"/>
              <w:jc w:val="center"/>
            </w:pPr>
            <w:r>
              <w:rPr>
                <w:rFonts w:ascii="Times New Roman" w:eastAsia="Times New Roman" w:hAnsi="Times New Roman" w:cs="Times New Roman"/>
                <w:color w:val="000000"/>
              </w:rPr>
              <w:t>(18,19%)</w:t>
            </w:r>
          </w:p>
        </w:tc>
      </w:tr>
      <w:tr w:rsidR="00294BD0">
        <w:trPr>
          <w:trHeight w:val="391"/>
        </w:trPr>
        <w:tc>
          <w:tcPr>
            <w:tcW w:w="138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w:t>
            </w:r>
          </w:p>
        </w:tc>
        <w:tc>
          <w:tcPr>
            <w:tcW w:w="127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291</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206</w:t>
            </w:r>
          </w:p>
        </w:tc>
        <w:tc>
          <w:tcPr>
            <w:tcW w:w="11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3 087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eastAsia="Times New Roman" w:hAnsi="Times New Roman" w:cs="Times New Roman"/>
                <w:color w:val="000000"/>
              </w:rPr>
              <w:t>9 093</w:t>
            </w:r>
          </w:p>
        </w:tc>
      </w:tr>
    </w:tbl>
    <w:p w:rsidR="00294BD0" w:rsidRDefault="00294BD0">
      <w:pPr>
        <w:spacing w:after="0" w:line="240" w:lineRule="auto"/>
        <w:jc w:val="both"/>
        <w:rPr>
          <w:rFonts w:ascii="Cambria" w:eastAsia="Times New Roman" w:hAnsi="Cambria" w:cs="Cambria"/>
        </w:rPr>
      </w:pPr>
      <w:r>
        <w:rPr>
          <w:rFonts w:ascii="Times New Roman" w:hAnsi="Times New Roman" w:cs="Times New Roman"/>
          <w:i/>
          <w:sz w:val="20"/>
          <w:szCs w:val="20"/>
        </w:rPr>
        <w:t xml:space="preserve">     </w:t>
      </w:r>
      <w:r>
        <w:rPr>
          <w:rFonts w:ascii="Times New Roman" w:hAnsi="Times New Roman" w:cs="Times New Roman"/>
          <w:i/>
        </w:rPr>
        <w:t xml:space="preserve">    (Tabela nr 15 –</w:t>
      </w:r>
      <w:r>
        <w:rPr>
          <w:rFonts w:ascii="Times New Roman" w:eastAsia="Times New Roman" w:hAnsi="Times New Roman" w:cs="Times New Roman"/>
          <w:i/>
        </w:rPr>
        <w:t xml:space="preserve"> Poziom bezrobocia według płci i wieku. Stan na 31.12.2013r.. Źródło dane GUS/BDL</w:t>
      </w:r>
    </w:p>
    <w:p w:rsidR="00294BD0" w:rsidRDefault="00294BD0">
      <w:pPr>
        <w:spacing w:after="0" w:line="240" w:lineRule="auto"/>
        <w:jc w:val="both"/>
        <w:rPr>
          <w:rFonts w:ascii="Cambria" w:eastAsia="Times New Roman" w:hAnsi="Cambria" w:cs="Cambria"/>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Na obszarze LGD w 2013 r. zatrudnionych było 7 285 osób z czego 46,01% stanowiły kobiety. Udział kobiet w zatrudnieniu tylko w czterech gminach tj. Gozdnica, Wymiarki, Małomice i Żagań przekracza 50%. Najniższy odsetek kobiet w stosunku do liczby osób zatrudnionych odnotowano w Gminie Węgliniec (poniżej 40%). Największa liczba zatrudnionych przypadła na 2008 rok, natomiast największy odsetek zatrudnionych kobiet na 2012 rok. Powyższe dane wskazują na konieczność interwencji LGD w tym zakresie. </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p>
    <w:p w:rsidR="00294BD0" w:rsidRDefault="00294BD0">
      <w:pPr>
        <w:spacing w:after="0" w:line="240" w:lineRule="auto"/>
        <w:jc w:val="both"/>
        <w:rPr>
          <w:rFonts w:ascii="Times New Roman" w:eastAsia="Times New Roman" w:hAnsi="Times New Roman" w:cs="Times New Roman"/>
          <w:color w:val="FF0000"/>
        </w:rPr>
      </w:pPr>
    </w:p>
    <w:tbl>
      <w:tblPr>
        <w:tblW w:w="0" w:type="auto"/>
        <w:tblInd w:w="108" w:type="dxa"/>
        <w:tblLayout w:type="fixed"/>
        <w:tblLook w:val="0000" w:firstRow="0" w:lastRow="0" w:firstColumn="0" w:lastColumn="0" w:noHBand="0" w:noVBand="0"/>
      </w:tblPr>
      <w:tblGrid>
        <w:gridCol w:w="1383"/>
        <w:gridCol w:w="1274"/>
        <w:gridCol w:w="992"/>
        <w:gridCol w:w="851"/>
        <w:gridCol w:w="838"/>
        <w:gridCol w:w="12"/>
        <w:gridCol w:w="851"/>
        <w:gridCol w:w="712"/>
        <w:gridCol w:w="851"/>
        <w:gridCol w:w="850"/>
        <w:gridCol w:w="881"/>
      </w:tblGrid>
      <w:tr w:rsidR="00294BD0">
        <w:trPr>
          <w:trHeight w:val="334"/>
        </w:trPr>
        <w:tc>
          <w:tcPr>
            <w:tcW w:w="2657"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Zatrudnienie wśród kobiet</w:t>
            </w:r>
          </w:p>
        </w:tc>
        <w:tc>
          <w:tcPr>
            <w:tcW w:w="992"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838"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63" w:type="dxa"/>
            <w:gridSpan w:val="2"/>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rsidR="00294BD0" w:rsidRDefault="00294BD0">
            <w:pPr>
              <w:spacing w:after="0" w:line="240" w:lineRule="auto"/>
            </w:pPr>
            <w:r>
              <w:rPr>
                <w:rFonts w:ascii="Times New Roman" w:eastAsia="Times New Roman" w:hAnsi="Times New Roman" w:cs="Times New Roman"/>
                <w:b/>
                <w:color w:val="000000"/>
              </w:rPr>
              <w:t>2013</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Gozdnica</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377</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209</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192</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46,80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41,52</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50,61</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51,53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52,06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52,25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50,93</w:t>
            </w:r>
          </w:p>
        </w:tc>
      </w:tr>
      <w:tr w:rsidR="00294BD0">
        <w:trPr>
          <w:trHeight w:val="195"/>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Iłowa</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1345</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1239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1194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1182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1240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1164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1142</w:t>
            </w:r>
          </w:p>
        </w:tc>
      </w:tr>
      <w:tr w:rsidR="00294BD0">
        <w:trPr>
          <w:trHeight w:val="19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502</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518</w:t>
            </w:r>
          </w:p>
        </w:tc>
      </w:tr>
      <w:tr w:rsidR="00294BD0">
        <w:trPr>
          <w:trHeight w:val="19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40,25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39,48</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42,04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42,81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42,82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44,76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45,36</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Małomice</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261</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373</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233</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201</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46,35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48,64</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44,09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52,21</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54,89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52,30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53,89</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Wymiarki</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364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360</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371</w:t>
            </w:r>
            <w:r>
              <w:rPr>
                <w:rFonts w:ascii="Times New Roman" w:eastAsia="Times New Roman" w:hAnsi="Times New Roman" w:cs="Times New Roman"/>
              </w:rPr>
              <w:tab/>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358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334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354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348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tabs>
                <w:tab w:val="left" w:pos="2490"/>
              </w:tabs>
              <w:spacing w:after="0" w:line="240" w:lineRule="auto"/>
            </w:pPr>
            <w:r>
              <w:rPr>
                <w:rFonts w:ascii="Times New Roman" w:eastAsia="Times New Roman" w:hAnsi="Times New Roman" w:cs="Times New Roman"/>
              </w:rPr>
              <w:t>221</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131</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49,73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50,56</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51,21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51,40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48,02</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48,56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59,28</w:t>
            </w:r>
          </w:p>
        </w:tc>
      </w:tr>
      <w:tr w:rsidR="00294BD0">
        <w:trPr>
          <w:trHeight w:val="295"/>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Żagań</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830</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597</w:t>
            </w:r>
          </w:p>
        </w:tc>
      </w:tr>
      <w:tr w:rsidR="00294BD0">
        <w:trPr>
          <w:trHeight w:val="29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349</w:t>
            </w:r>
          </w:p>
        </w:tc>
      </w:tr>
      <w:tr w:rsidR="00294BD0">
        <w:trPr>
          <w:trHeight w:val="29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41,67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40,05</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40,61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46,27</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50,28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51,62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58,46</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Przewóz</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258</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189</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218</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105</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44,66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50,78</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56,08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52,78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51,44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51,82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48,17</w:t>
            </w:r>
          </w:p>
        </w:tc>
      </w:tr>
      <w:tr w:rsidR="00294BD0">
        <w:trPr>
          <w:trHeight w:val="29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Żary</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401</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1191</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1334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1431</w:t>
            </w:r>
          </w:p>
        </w:tc>
      </w:tr>
      <w:tr w:rsidR="00294BD0">
        <w:trPr>
          <w:trHeight w:val="29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480</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590</w:t>
            </w:r>
          </w:p>
        </w:tc>
      </w:tr>
      <w:tr w:rsidR="00294BD0">
        <w:trPr>
          <w:trHeight w:val="29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35,12</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32,17</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33,70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37,28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36,21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35,98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41,23</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Osiecznica</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958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708</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855</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933</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426</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44,99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44,71</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49,64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54,52</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45,44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47,49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45,66</w:t>
            </w:r>
          </w:p>
        </w:tc>
      </w:tr>
      <w:tr w:rsidR="00294BD0">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Pieńsk</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1274</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1156</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891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854</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903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918</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895</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564</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409</w:t>
            </w:r>
          </w:p>
        </w:tc>
      </w:tr>
      <w:tr w:rsidR="00294BD0">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44,51</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48,79</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47,47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48,36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48,17</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45,64</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45,70</w:t>
            </w:r>
          </w:p>
        </w:tc>
      </w:tr>
      <w:tr w:rsidR="00294BD0">
        <w:trPr>
          <w:trHeight w:val="205"/>
        </w:trPr>
        <w:tc>
          <w:tcPr>
            <w:tcW w:w="1383" w:type="dxa"/>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Węgliniec</w:t>
            </w: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1637</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1503</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1376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1360</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1306</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1098</w:t>
            </w:r>
          </w:p>
        </w:tc>
      </w:tr>
      <w:tr w:rsidR="00294BD0">
        <w:trPr>
          <w:trHeight w:val="20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569</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583</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526</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457</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431</w:t>
            </w:r>
          </w:p>
        </w:tc>
      </w:tr>
      <w:tr w:rsidR="00294BD0">
        <w:trPr>
          <w:trHeight w:val="205"/>
        </w:trPr>
        <w:tc>
          <w:tcPr>
            <w:tcW w:w="138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32,35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35,61</w:t>
            </w:r>
          </w:p>
        </w:tc>
        <w:tc>
          <w:tcPr>
            <w:tcW w:w="850"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39,65</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41,13</w:t>
            </w:r>
          </w:p>
        </w:tc>
        <w:tc>
          <w:tcPr>
            <w:tcW w:w="71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38,68</w:t>
            </w:r>
          </w:p>
        </w:tc>
        <w:tc>
          <w:tcPr>
            <w:tcW w:w="851"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34,99</w:t>
            </w:r>
          </w:p>
        </w:tc>
        <w:tc>
          <w:tcPr>
            <w:tcW w:w="85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39,25</w:t>
            </w:r>
          </w:p>
        </w:tc>
      </w:tr>
      <w:tr w:rsidR="00294BD0">
        <w:trPr>
          <w:trHeight w:val="200"/>
        </w:trPr>
        <w:tc>
          <w:tcPr>
            <w:tcW w:w="2657"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 wyrażona w %</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40,77</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42,06</w:t>
            </w:r>
          </w:p>
        </w:tc>
        <w:tc>
          <w:tcPr>
            <w:tcW w:w="838"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39,82</w:t>
            </w:r>
          </w:p>
        </w:tc>
        <w:tc>
          <w:tcPr>
            <w:tcW w:w="863"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45,34</w:t>
            </w:r>
          </w:p>
        </w:tc>
        <w:tc>
          <w:tcPr>
            <w:tcW w:w="71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45,34</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43,32</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46,73</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both"/>
            </w:pPr>
            <w:r>
              <w:rPr>
                <w:rFonts w:ascii="Times New Roman" w:eastAsia="Times New Roman" w:hAnsi="Times New Roman" w:cs="Times New Roman"/>
                <w:b/>
                <w:color w:val="000000"/>
              </w:rPr>
              <w:t>46,01</w:t>
            </w:r>
          </w:p>
        </w:tc>
      </w:tr>
      <w:tr w:rsidR="00294BD0">
        <w:trPr>
          <w:trHeight w:val="200"/>
        </w:trPr>
        <w:tc>
          <w:tcPr>
            <w:tcW w:w="2657"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Razem Kobiety</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2960</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3117</w:t>
            </w:r>
          </w:p>
        </w:tc>
        <w:tc>
          <w:tcPr>
            <w:tcW w:w="838"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3117</w:t>
            </w:r>
          </w:p>
        </w:tc>
        <w:tc>
          <w:tcPr>
            <w:tcW w:w="863"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3430</w:t>
            </w:r>
          </w:p>
        </w:tc>
        <w:tc>
          <w:tcPr>
            <w:tcW w:w="71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3337</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3209</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3210</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both"/>
            </w:pPr>
            <w:r>
              <w:rPr>
                <w:rFonts w:ascii="Times New Roman" w:eastAsia="Times New Roman" w:hAnsi="Times New Roman" w:cs="Times New Roman"/>
                <w:b/>
                <w:color w:val="000000"/>
              </w:rPr>
              <w:t>3352</w:t>
            </w:r>
          </w:p>
        </w:tc>
      </w:tr>
      <w:tr w:rsidR="00294BD0">
        <w:trPr>
          <w:trHeight w:val="200"/>
        </w:trPr>
        <w:tc>
          <w:tcPr>
            <w:tcW w:w="2657"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Razem Ogółem</w:t>
            </w:r>
          </w:p>
        </w:tc>
        <w:tc>
          <w:tcPr>
            <w:tcW w:w="99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7261</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7411</w:t>
            </w:r>
          </w:p>
        </w:tc>
        <w:tc>
          <w:tcPr>
            <w:tcW w:w="838"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7827</w:t>
            </w:r>
          </w:p>
        </w:tc>
        <w:tc>
          <w:tcPr>
            <w:tcW w:w="863" w:type="dxa"/>
            <w:gridSpan w:val="2"/>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7565</w:t>
            </w:r>
          </w:p>
        </w:tc>
        <w:tc>
          <w:tcPr>
            <w:tcW w:w="712"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7360</w:t>
            </w:r>
          </w:p>
        </w:tc>
        <w:tc>
          <w:tcPr>
            <w:tcW w:w="851"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7407</w:t>
            </w:r>
          </w:p>
        </w:tc>
        <w:tc>
          <w:tcPr>
            <w:tcW w:w="85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6870</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jc w:val="both"/>
            </w:pPr>
            <w:r>
              <w:rPr>
                <w:rFonts w:ascii="Times New Roman" w:eastAsia="Times New Roman" w:hAnsi="Times New Roman" w:cs="Times New Roman"/>
                <w:b/>
                <w:color w:val="000000"/>
              </w:rPr>
              <w:t>7285</w:t>
            </w:r>
          </w:p>
        </w:tc>
      </w:tr>
    </w:tbl>
    <w:p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(Tabela nr 16 –</w:t>
      </w:r>
      <w:r>
        <w:rPr>
          <w:rFonts w:ascii="Times New Roman" w:eastAsia="Times New Roman" w:hAnsi="Times New Roman" w:cs="Times New Roman"/>
          <w:i/>
        </w:rPr>
        <w:t xml:space="preserve"> Poziom zatrudnienia wśród kobiet.</w:t>
      </w:r>
      <w:r>
        <w:rPr>
          <w:rFonts w:ascii="Times New Roman" w:hAnsi="Times New Roman" w:cs="Times New Roman"/>
          <w:i/>
        </w:rPr>
        <w:t xml:space="preserve"> Źródło - dane z GUS/BDL)</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 xml:space="preserve">W 7 gminach, w których udało się pozyskać dane z obu źródeł (ankieta + spotkania z mieszkańcami) jako priorytetowy cel uznano właśnie szeroko rozumiane pobudzanie przedsiębiorczości i tworzenie nowych miejsc pracy. Warto podkreślić, że bezrobocie i brak miejsc pracy wymieniono również w 7 gminach objętych działaniem LGD jako słabą stronę. Podkreślono wysoki poziom bezrobocia i powiązane z nim negatywne zjawiska na rynku pracy, takie jak brak pracy, zwłaszcza dla młodych ludzi, czego konsekwencją jest odpływ tych mieszkańców z gminy w poszukiwaniu pracy i lepszych szans na przyszłość. Analizując zebrane powyżej informacje można stwierdzić, że grupami defaworyzowanymi pod kątem dostępu do rynku pracy są kobiety i bezrobotni w wieku od 25 do 44 lat. </w:t>
      </w:r>
    </w:p>
    <w:p w:rsidR="00294BD0" w:rsidRDefault="00294BD0">
      <w:pPr>
        <w:spacing w:after="0" w:line="240" w:lineRule="auto"/>
        <w:jc w:val="both"/>
        <w:rPr>
          <w:rFonts w:ascii="Times New Roman" w:eastAsia="Times New Roman" w:hAnsi="Times New Roman" w:cs="Times New Roman"/>
          <w:color w:val="FF0000"/>
        </w:rPr>
      </w:pPr>
    </w:p>
    <w:p w:rsidR="00294BD0" w:rsidRDefault="00294BD0">
      <w:pPr>
        <w:numPr>
          <w:ilvl w:val="0"/>
          <w:numId w:val="27"/>
        </w:numPr>
        <w:spacing w:after="0" w:line="240" w:lineRule="auto"/>
        <w:rPr>
          <w:rFonts w:ascii="Times New Roman" w:hAnsi="Times New Roman" w:cs="Times New Roman"/>
        </w:rPr>
      </w:pPr>
      <w:r>
        <w:rPr>
          <w:rFonts w:ascii="Times New Roman" w:eastAsia="Times New Roman" w:hAnsi="Times New Roman" w:cs="Times New Roman"/>
          <w:b/>
          <w:color w:val="000000"/>
        </w:rPr>
        <w:t>Przedstawienie działalności sektora społecznego</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 xml:space="preserve">Jak wskazuje tabela nr 14 na terenie LGD zarejestrowanych jest łącznie 25 spółdzielni oraz 186 organizacji pozarządowych (stowarzyszeń oraz fundacji). Najwięcej z nich funkcjonuje </w:t>
      </w:r>
      <w:r>
        <w:rPr>
          <w:rFonts w:ascii="Times New Roman" w:eastAsia="Times New Roman" w:hAnsi="Times New Roman" w:cs="Times New Roman"/>
          <w:color w:val="000000"/>
        </w:rPr>
        <w:t>w gminie wiejskiej Żary (43) w gminie Węgliniec (26) oraz Pieńsk (24) i Osiecznica (21). Należą do nich przede wszystkim Ochotnicze Straże Pożarne, Kluby Sportowe, Stowarzyszenia o charakterze społecznym i turystycznym, Stowarzyszenia branżowe, Stowarzyszenia i Towarzystwa promujące poszczególne gminy jak i cały region. Szczególnie dużą aktywność wykazują Kluby lub Zespoły sportowe oraz Ochotnicze Straże Pożarne, które integrują większe grupy osób zorganizowane w działania sportowe lub przeciw pożarnicze.</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Zdecydowanie brakuje organizacji działających na rzecz rozwoju miejscowości, wspólnot lokalnych czy stowarzyszeń branżowych. Nie ma organizacji realizujących projekty lub programy ze środków UE.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Główne źródła zasilania organizacji to dotacje ze strony Urzędów Gmin oraz składki członkowskie. Liderzy i osoby zaangażowane potrzebują wsparcia szkoleniowego i merytorycznego. Istnieje duża potrzeba wsparcia kapitału społecznego co również będzie miało swoje odzwierciedlenie w Strategii.</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Poza formalnie działającymi organizacjami pozarządowymi na terenie objętym Strategią funkcjonują jeszcze dość silne grupy nieformalne wśród których wymienić należy Koła Gospodyń Wiejskich, Zespoły Śpiewacze.</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Rady Sołeckie – 91</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Koła Gospodyń Wiejskich – 31</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Kluby Sportowe – 13</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Grupy Odnowy Miejscowości – 11</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Grupy Śpiewacze – 6</w:t>
      </w:r>
    </w:p>
    <w:p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Klub Aktywnego Seniora – 1</w:t>
      </w:r>
    </w:p>
    <w:p w:rsidR="00294BD0" w:rsidRDefault="00294BD0">
      <w:pPr>
        <w:spacing w:after="0" w:line="240" w:lineRule="auto"/>
        <w:ind w:left="1134"/>
        <w:rPr>
          <w:rFonts w:ascii="Times New Roman" w:eastAsia="Times New Roman" w:hAnsi="Times New Roman" w:cs="Times New Roman"/>
          <w:color w:val="000000"/>
        </w:rPr>
      </w:pPr>
    </w:p>
    <w:p w:rsidR="00294BD0" w:rsidRDefault="00294BD0">
      <w:pPr>
        <w:numPr>
          <w:ilvl w:val="0"/>
          <w:numId w:val="27"/>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color w:val="000000"/>
        </w:rPr>
        <w:t>Wskazanie problemów społecznych</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Badania ewaluacyjne przeprowadzone pod koniec poprzedniego okresu programowania pozwoliły na wskazanie najważniejszych z perspektywy badanych osób problemów społecznych. Najczęściej wskazywanym problemem był brak pracy - tę odpowiedź wybierało ponad 3/4 wszystkich badanych (77%). Wyraźnie rzadziej, ale wciąż relatywnie często wskazywano również w tym kontekście na problemy z infrastrukturą drogową (drogi, mosty, parkingi) (41%) oraz uzależnienia od alkoholu i innych używek (37%), a w dalszej kolejności ubóstwo oraz zbyt małą liczbę miejsc rozrywki i rekreacji (po 25%) oraz problemy ze służbą zdrowia (22%). Najrzadziej jako jeden z najważniejszych problemów wskazywano zbyt małą liczbę placówek kulturalnych (6%), problemy z funkcjonowaniem urzędów (6%) problemy z infrastrukturą komunalną (woda, kanalizacja, prąd, gaz, wywóz odpadów) (5%) oraz inne (4%). </w:t>
      </w:r>
    </w:p>
    <w:p w:rsidR="00294BD0" w:rsidRDefault="00294BD0">
      <w:pPr>
        <w:spacing w:after="0" w:line="240" w:lineRule="auto"/>
        <w:ind w:left="284"/>
        <w:jc w:val="both"/>
        <w:rPr>
          <w:rFonts w:ascii="Times New Roman" w:eastAsia="Times New Roman" w:hAnsi="Times New Roman" w:cs="Times New Roman"/>
        </w:rPr>
      </w:pPr>
    </w:p>
    <w:p w:rsidR="00294BD0" w:rsidRDefault="00EA57E7">
      <w:pPr>
        <w:spacing w:after="0" w:line="240" w:lineRule="auto"/>
        <w:jc w:val="center"/>
        <w:rPr>
          <w:rFonts w:ascii="Times New Roman" w:eastAsia="Times New Roman" w:hAnsi="Times New Roman" w:cs="Times New Roman"/>
          <w:b/>
          <w:i/>
        </w:rPr>
      </w:pPr>
      <w:r>
        <w:rPr>
          <w:rFonts w:ascii="Cambria" w:eastAsia="Times New Roman" w:hAnsi="Cambria" w:cs="Cambria"/>
          <w:noProof/>
          <w:sz w:val="24"/>
          <w:szCs w:val="24"/>
          <w:lang w:val="pl-PL"/>
        </w:rPr>
        <w:drawing>
          <wp:inline distT="0" distB="0" distL="0" distR="0">
            <wp:extent cx="3981450" cy="2209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b="-43"/>
                    <a:stretch>
                      <a:fillRect/>
                    </a:stretch>
                  </pic:blipFill>
                  <pic:spPr bwMode="auto">
                    <a:xfrm>
                      <a:off x="0" y="0"/>
                      <a:ext cx="3981450" cy="2209800"/>
                    </a:xfrm>
                    <a:prstGeom prst="rect">
                      <a:avLst/>
                    </a:prstGeom>
                    <a:solidFill>
                      <a:srgbClr val="FFFFFF"/>
                    </a:solidFill>
                    <a:ln>
                      <a:noFill/>
                    </a:ln>
                  </pic:spPr>
                </pic:pic>
              </a:graphicData>
            </a:graphic>
          </wp:inline>
        </w:drawing>
      </w:r>
    </w:p>
    <w:p w:rsidR="00294BD0" w:rsidRDefault="00294BD0">
      <w:pPr>
        <w:spacing w:after="0" w:line="240" w:lineRule="auto"/>
        <w:rPr>
          <w:rFonts w:ascii="Times New Roman" w:eastAsia="Times New Roman" w:hAnsi="Times New Roman" w:cs="Times New Roman"/>
          <w:i/>
        </w:rPr>
      </w:pPr>
      <w:r>
        <w:rPr>
          <w:rFonts w:ascii="Times New Roman" w:eastAsia="Times New Roman" w:hAnsi="Times New Roman" w:cs="Times New Roman"/>
          <w:b/>
          <w:i/>
        </w:rPr>
        <w:t xml:space="preserve">                   Wykres 3. </w:t>
      </w:r>
      <w:r>
        <w:rPr>
          <w:rFonts w:ascii="Times New Roman" w:eastAsia="Times New Roman" w:hAnsi="Times New Roman" w:cs="Times New Roman"/>
          <w:i/>
        </w:rPr>
        <w:t>Najważniejsze problemy, jakie respondent zauważa w swojej gminie (N=606)*</w:t>
      </w:r>
    </w:p>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Źródło – raport z badań ewaluacyjnych</w:t>
      </w:r>
    </w:p>
    <w:p w:rsidR="00294BD0" w:rsidRDefault="00294BD0">
      <w:pPr>
        <w:spacing w:after="0" w:line="240" w:lineRule="auto"/>
        <w:ind w:firstLine="284"/>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 trakcie spotkań z mieszkańcami, aż w 6 gminach wskazano na rozbudowę i modernizację infrastruktury drogowej i towarzyszącej, komunalnej i społecznej innej niż szkolna jako priorytetowe cele. Natomiast w 5</w:t>
      </w:r>
      <w:r>
        <w:rPr>
          <w:rFonts w:ascii="Cambria" w:eastAsia="Times New Roman" w:hAnsi="Cambria" w:cs="Cambria"/>
          <w:sz w:val="24"/>
          <w:szCs w:val="24"/>
        </w:rPr>
        <w:t xml:space="preserve"> </w:t>
      </w:r>
      <w:r>
        <w:rPr>
          <w:rFonts w:ascii="Times New Roman" w:eastAsia="Times New Roman" w:hAnsi="Times New Roman" w:cs="Times New Roman"/>
        </w:rPr>
        <w:t>gminach wskazano na rozwój turystyki i agroturystyki, w tym infrastruktury turystycznej oraz infrastruktury sportowo-rekreacyjnej. Co ważne walory turystyczne (przyroda, zabytki, historia, tradycja, produkty lokalne) w 8 gminach uznawano za jej silną stronę. Podobnie w szansach gminy najczęściej wskazywano na rozwój turystyki i infrastruktury turystyczno-rekreacyjnej, poprawę stanu różnego rodzaju infrastruktur oraz rozwój przedsiębiorczości.</w:t>
      </w:r>
      <w:r>
        <w:rPr>
          <w:rFonts w:ascii="Cambria" w:eastAsia="Times New Roman" w:hAnsi="Cambria" w:cs="Cambria"/>
          <w:sz w:val="24"/>
          <w:szCs w:val="24"/>
        </w:rPr>
        <w:t xml:space="preserve"> </w:t>
      </w:r>
      <w:r>
        <w:rPr>
          <w:rFonts w:ascii="Times New Roman" w:eastAsia="Times New Roman" w:hAnsi="Times New Roman" w:cs="Times New Roman"/>
        </w:rPr>
        <w:t xml:space="preserve">Biorąc pod uwagę zarówno rezultaty wyników zagregowanej analizy zebranych podczas spotkań z mieszkańcami i za pośrednictwem ankiet danych, dotychczasowy zakres działalności LGD Bory Dolnośląskie oraz zdefiniowany w PROW 2014-2020 zakres operacji, które będą wspierane w ramach osi LEADER należy skoncentrować się wokół trzech zasadniczych wątków: </w:t>
      </w:r>
    </w:p>
    <w:p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wykorzystania potencjału kulturowego i przyrodniczego obszaru objętego działaniem LGD Bory Dolnośląskie do rozwijania ogólnodostępnej i niekomercyjnej infrastruktury turystycznej  lub rekreacyjnej, kulturalnej, integracyjnej i edukacyjnej oraz infrastruktury drogowej;</w:t>
      </w:r>
    </w:p>
    <w:p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działaniach mających na celu pobudzanie przedsiębiorczości i tworzenie miejsc pracy w gminach zrzeszonych w LGD;</w:t>
      </w:r>
    </w:p>
    <w:p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działaniach wzmacniających kapitał społeczny poprzez wzmocnienie potencjału organizacji pozarządowych i aktywności lokalnej oraz zachowania dziedzictwa lokalnego.</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Działania te nie tylko wpisują się w zakres operacji, zdefiniowany w PROW 2014-2020, stanowiąc jednocześnie kontynuację dotychczasowej działalności LGD Bory Dolnośląskie, ale współgrają również z artykułowanymi podczas spotkań w gminach i za pośrednictwem ankiet opiniami tych mieszkańców gmin, którzy chcieli się nimi podzielić. Podobne rezultaty przyniosły badania ankietowe skierowane do gmin,</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w których poproszono o wskazanie głównych problemów z jakimi mieszkańcy zgłaszają się do nich z prośbą o interwencję. Są to głównie:</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Zły stan infrastruktury drogowej –  wymieniane przez mieszkańców w 7 gminach;</w:t>
      </w:r>
    </w:p>
    <w:p w:rsidR="00294BD0" w:rsidRDefault="00294BD0">
      <w:pPr>
        <w:numPr>
          <w:ilvl w:val="0"/>
          <w:numId w:val="45"/>
        </w:numPr>
        <w:spacing w:after="0" w:line="24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Konieczność budowy i modernizacji instalacji kanalizacyjnych, wodnościekowych i energetycznych -  wymieniane przez mieszkańców w 6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Brak ścieżek rowerowych – wymieniane przez mieszkańców w 6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Przydział mieszkania komunalnego – wymieniane przez mieszkańców w 5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Niedostateczna sieć połączeń komunikacyjnych pomiędzy miejscowościami –  w wymieniane przez mieszkańców w 2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Niewystarczająca liczba obiektów rekreacyjno – sportowych oraz świetlic – wymieniane przez mieszkańców w 3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Niewystarczająca oferta kulturalno oświatowa dla dzieci i młodzieży – wymieniane przez mieszkańców w 2 gminach;</w:t>
      </w:r>
    </w:p>
    <w:p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Bezrobocie i problemy finansowe -  wymieniane przez mieszkańców w 2 gminach;</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Liczba osób korzystających z pomocy społecznej na terenie gmin objętych LSR jest naprawdę duża, średnia na rok 2013 wyniosła 12,49%. Przekracza ona znacznie średnią dla województwa lubuskiego (9,55%) oraz dolnośląskiego (6,34%), jest również wyższa niż średnia w poszczególnych powiatach. Informacje na ten temat zostały zwarte w tabelce poniżej.</w:t>
      </w:r>
    </w:p>
    <w:p w:rsidR="00294BD0" w:rsidRDefault="00294BD0">
      <w:pPr>
        <w:spacing w:after="0" w:line="240" w:lineRule="auto"/>
        <w:ind w:left="284" w:firstLine="424"/>
        <w:jc w:val="both"/>
        <w:rPr>
          <w:rFonts w:ascii="Times New Roman" w:eastAsia="Times New Roman" w:hAnsi="Times New Roman" w:cs="Times New Roman"/>
          <w:color w:val="FF0000"/>
        </w:rPr>
      </w:pPr>
    </w:p>
    <w:tbl>
      <w:tblPr>
        <w:tblW w:w="0" w:type="auto"/>
        <w:tblInd w:w="108" w:type="dxa"/>
        <w:tblLayout w:type="fixed"/>
        <w:tblLook w:val="0000" w:firstRow="0" w:lastRow="0" w:firstColumn="0" w:lastColumn="0" w:noHBand="0" w:noVBand="0"/>
      </w:tblPr>
      <w:tblGrid>
        <w:gridCol w:w="1670"/>
        <w:gridCol w:w="1795"/>
        <w:gridCol w:w="1870"/>
        <w:gridCol w:w="1779"/>
        <w:gridCol w:w="1818"/>
      </w:tblGrid>
      <w:tr w:rsidR="00294BD0">
        <w:tc>
          <w:tcPr>
            <w:tcW w:w="1670" w:type="dxa"/>
            <w:tcBorders>
              <w:top w:val="single" w:sz="4" w:space="0" w:color="000000"/>
              <w:left w:val="single" w:sz="4" w:space="0" w:color="000000"/>
              <w:bottom w:val="single" w:sz="4" w:space="0" w:color="000000"/>
            </w:tcBorders>
            <w:shd w:val="clear" w:color="auto" w:fill="D9D9D9"/>
          </w:tcPr>
          <w:p w:rsidR="00294BD0" w:rsidRDefault="00294BD0">
            <w:pPr>
              <w:snapToGrid w:val="0"/>
              <w:spacing w:after="0" w:line="240" w:lineRule="auto"/>
              <w:rPr>
                <w:rFonts w:ascii="Times New Roman" w:eastAsia="Times New Roman" w:hAnsi="Times New Roman" w:cs="Times New Roman"/>
                <w:b/>
              </w:rPr>
            </w:pPr>
          </w:p>
        </w:tc>
        <w:tc>
          <w:tcPr>
            <w:tcW w:w="1795"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gospodarstw domowych korzystających z pomocy społecznej</w:t>
            </w:r>
          </w:p>
        </w:tc>
        <w:tc>
          <w:tcPr>
            <w:tcW w:w="1870"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osób w gospodarstwach domowych korzystających z pomocy społecznej</w:t>
            </w:r>
          </w:p>
        </w:tc>
        <w:tc>
          <w:tcPr>
            <w:tcW w:w="1779"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Ogólna liczba mieszkańców </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pPr>
            <w:r>
              <w:rPr>
                <w:rFonts w:ascii="Times New Roman" w:eastAsia="Times New Roman" w:hAnsi="Times New Roman" w:cs="Times New Roman"/>
                <w:b/>
              </w:rPr>
              <w:t xml:space="preserve">Procentowy udział osób korzystających z pomocy społecznej do mieszkańców </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Województwo lubuskie</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40297</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97591</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1021470</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9,55</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Żagański</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4006</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9419</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81803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11,51</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Powiat </w:t>
            </w:r>
          </w:p>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Żarski</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4432</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10473</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99088</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10,57</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Województwo dolnośląskie</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81147</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184509</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2909997</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6,34</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Bolesławiecki</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2619</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6701</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90306</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7,42</w:t>
            </w:r>
          </w:p>
        </w:tc>
      </w:tr>
      <w:tr w:rsidR="00294BD0">
        <w:tc>
          <w:tcPr>
            <w:tcW w:w="16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Zgorzelecki</w:t>
            </w:r>
          </w:p>
        </w:tc>
        <w:tc>
          <w:tcPr>
            <w:tcW w:w="1795"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3403</w:t>
            </w:r>
          </w:p>
        </w:tc>
        <w:tc>
          <w:tcPr>
            <w:tcW w:w="187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6918</w:t>
            </w:r>
          </w:p>
        </w:tc>
        <w:tc>
          <w:tcPr>
            <w:tcW w:w="177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93158</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7,43</w:t>
            </w:r>
          </w:p>
        </w:tc>
      </w:tr>
    </w:tbl>
    <w:p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17 –</w:t>
      </w:r>
      <w:r>
        <w:rPr>
          <w:rFonts w:ascii="Times New Roman" w:eastAsia="Times New Roman" w:hAnsi="Times New Roman" w:cs="Times New Roman"/>
          <w:i/>
        </w:rPr>
        <w:t xml:space="preserve"> Liczba mieszkańców korzystających z pomocy społecznej w poszczególnych powiatach.</w:t>
      </w:r>
    </w:p>
    <w:p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Źródło - dane z GUS/BDL)</w:t>
      </w:r>
    </w:p>
    <w:p w:rsidR="00294BD0" w:rsidRDefault="00294BD0">
      <w:pPr>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Najwyższy poziom zubożenia notowany jest na terenie gminy Gozdnica, gdzie z pomocy społecznej korzysta blisko jedna piąta wszystkich mieszkańców. Równie groźnie sytuacja ta wygląda w gminie Małomice, gdzie 17,15% społeczeństwa korzysta ze wsparcia OPS oraz na terenie gminy Przewóz gdzie stosunek ten wynosi 14,04%. Dużo lepsza sytuacja ma miejsce w gminie Pieńsk gdzie jedynie 8,14% mieszkańców żyje przy wsparciu pomocy społecznej oraz w gminie Węgliniec gdzie wynosi on 9,25%. W trakcie spotkań z mieszkańcami i w nadesłanych ankietach również wskazywano na problem ubożenia społeczeństwa, związany m.in. z niskimi zarobkami i brakiem miejsc pracy jako jedno z głównych zagrożeń dla rozwoju gminy. Pomiędzy zjawiskiem ubóstwa i niskiej aktywności zawodowej istnieje korelacja, która sprawia, że szczególnie te osoby są zagrożone wykluczeniem społecznym. Dlatego szczególnie ważne są działania z tego zakresu ze strony LGD, ukierunkowane z jednej strony na podnoszenie poziomu kapitału społecznego i integrację mieszkańców, z drugiej zaś na zwiększanie szans na rynku pracy i w efekcie na znalezienie zatrudnienia.</w:t>
      </w:r>
      <w:r>
        <w:rPr>
          <w:rFonts w:ascii="Times New Roman" w:eastAsia="Times New Roman" w:hAnsi="Times New Roman" w:cs="Times New Roman"/>
          <w:b/>
        </w:rPr>
        <w:t xml:space="preserve"> </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spacing w:after="0" w:line="240" w:lineRule="auto"/>
        <w:ind w:left="284"/>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909"/>
        <w:gridCol w:w="1634"/>
        <w:gridCol w:w="2126"/>
        <w:gridCol w:w="1514"/>
        <w:gridCol w:w="1818"/>
      </w:tblGrid>
      <w:tr w:rsidR="00294BD0">
        <w:tc>
          <w:tcPr>
            <w:tcW w:w="1909"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Nazwa gminy</w:t>
            </w:r>
          </w:p>
        </w:tc>
        <w:tc>
          <w:tcPr>
            <w:tcW w:w="163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gospodarstw domowych korzystających z pomocy społecznej</w:t>
            </w:r>
          </w:p>
        </w:tc>
        <w:tc>
          <w:tcPr>
            <w:tcW w:w="2126"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osób w gospodarstwach domowych korzystających z pomocy społecznej</w:t>
            </w:r>
          </w:p>
        </w:tc>
        <w:tc>
          <w:tcPr>
            <w:tcW w:w="1514" w:type="dxa"/>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Ogólna liczba mieszkańców gminy</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pPr>
            <w:r>
              <w:rPr>
                <w:rFonts w:ascii="Times New Roman" w:eastAsia="Times New Roman" w:hAnsi="Times New Roman" w:cs="Times New Roman"/>
                <w:b/>
              </w:rPr>
              <w:t>Procentowy udział osób korzystających z pomocy społecznej do mieszkańców gminy</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275</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630</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3 272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19,25 %</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Iłowa</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393</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923</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7 069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13,05%</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916</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5 339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17,15%</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111</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258</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2 359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10,93%</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339</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877</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7 209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12,16%</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144</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457</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14,04%</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1104</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12 153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9,08%</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285</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852</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9 315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11,85%</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345</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759</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9 315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8,14%</w:t>
            </w:r>
          </w:p>
        </w:tc>
      </w:tr>
      <w:tr w:rsidR="00294BD0">
        <w:tc>
          <w:tcPr>
            <w:tcW w:w="1909"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63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357</w:t>
            </w:r>
          </w:p>
        </w:tc>
        <w:tc>
          <w:tcPr>
            <w:tcW w:w="2126"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804</w:t>
            </w:r>
          </w:p>
        </w:tc>
        <w:tc>
          <w:tcPr>
            <w:tcW w:w="1514"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8 687</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9,25%</w:t>
            </w:r>
          </w:p>
        </w:tc>
      </w:tr>
      <w:tr w:rsidR="00294BD0">
        <w:tc>
          <w:tcPr>
            <w:tcW w:w="7183" w:type="dxa"/>
            <w:gridSpan w:val="4"/>
            <w:tcBorders>
              <w:top w:val="single" w:sz="4" w:space="0" w:color="000000"/>
              <w:left w:val="single" w:sz="4" w:space="0" w:color="000000"/>
              <w:bottom w:val="single" w:sz="4" w:space="0" w:color="000000"/>
            </w:tcBorders>
            <w:shd w:val="clear" w:color="auto" w:fill="D9D9D9"/>
          </w:tcPr>
          <w:p w:rsidR="00294BD0" w:rsidRDefault="00294BD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Średnia w LGD</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rsidR="00294BD0" w:rsidRDefault="00294BD0">
            <w:pPr>
              <w:spacing w:after="0" w:line="240" w:lineRule="auto"/>
            </w:pPr>
            <w:r>
              <w:rPr>
                <w:rFonts w:ascii="Times New Roman" w:eastAsia="Times New Roman" w:hAnsi="Times New Roman" w:cs="Times New Roman"/>
                <w:b/>
              </w:rPr>
              <w:t>12,49%</w:t>
            </w:r>
          </w:p>
        </w:tc>
      </w:tr>
    </w:tbl>
    <w:p w:rsidR="00294BD0" w:rsidRDefault="00294BD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       (Tabela nr 18 - Liczba gospodarstw i osób w nich korzystających z pomocy społeczne. Źródło dane GUS/BDL)</w:t>
      </w:r>
    </w:p>
    <w:p w:rsidR="00294BD0" w:rsidRDefault="00294BD0">
      <w:pPr>
        <w:spacing w:after="0" w:line="240" w:lineRule="auto"/>
        <w:ind w:left="284"/>
        <w:rPr>
          <w:rFonts w:ascii="Times New Roman" w:eastAsia="Times New Roman" w:hAnsi="Times New Roman" w:cs="Times New Roman"/>
          <w:sz w:val="24"/>
          <w:szCs w:val="24"/>
        </w:rPr>
      </w:pPr>
    </w:p>
    <w:p w:rsidR="00294BD0" w:rsidRDefault="00294BD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Główne powody ubiegania się o przyznanie pomocy to:</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Bezrobocie,</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Ubóstwo,</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Niepełnosprawność lub długotrwała choroba,</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Alkoholizm,</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Niezaradność życiowa,</w:t>
      </w:r>
    </w:p>
    <w:p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Bezdomność.</w:t>
      </w:r>
    </w:p>
    <w:p w:rsidR="00294BD0" w:rsidRDefault="00294BD0">
      <w:pPr>
        <w:spacing w:after="0" w:line="240" w:lineRule="auto"/>
        <w:ind w:left="360"/>
        <w:jc w:val="both"/>
        <w:rPr>
          <w:rFonts w:ascii="Times New Roman" w:eastAsia="Times New Roman" w:hAnsi="Times New Roman" w:cs="Times New Roman"/>
        </w:rPr>
      </w:pP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W sposób bardzo równomierny wskazano jednoznacznie na grupy, które w obecnej sytuacji mają utrudniony dostęp do rynku pracy. Dlatego też na potrzeby niniejszej strategii oraz w celu wyeliminowania tych nierówności Lokalna Grupa Działania wskazuje, że grupami defaworyzowanymi w stosunku dostępu do rynku pracy są:</w:t>
      </w:r>
    </w:p>
    <w:p w:rsidR="00294BD0" w:rsidRDefault="00294BD0">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Osoby bezrobotne od 25 do 44 roku życia,</w:t>
      </w:r>
    </w:p>
    <w:p w:rsidR="00294BD0" w:rsidRDefault="00294BD0">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kobiety.</w:t>
      </w:r>
    </w:p>
    <w:p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Po przeprowadzeniu diagnozy obszaru LSR okazało się, że grupą defaworyzowaną są również osoby w wieku poprodukcyjnym.</w:t>
      </w:r>
    </w:p>
    <w:p w:rsidR="00294BD0" w:rsidRDefault="00294BD0">
      <w:pPr>
        <w:spacing w:after="0" w:line="240" w:lineRule="auto"/>
        <w:ind w:left="1080"/>
        <w:rPr>
          <w:rFonts w:ascii="Times New Roman" w:eastAsia="Times New Roman" w:hAnsi="Times New Roman" w:cs="Times New Roman"/>
        </w:rPr>
      </w:pPr>
    </w:p>
    <w:p w:rsidR="00294BD0" w:rsidRDefault="00294BD0">
      <w:pPr>
        <w:numPr>
          <w:ilvl w:val="0"/>
          <w:numId w:val="27"/>
        </w:numPr>
        <w:spacing w:after="0" w:line="240" w:lineRule="auto"/>
        <w:ind w:left="284" w:hanging="284"/>
        <w:rPr>
          <w:rFonts w:ascii="Times New Roman" w:eastAsia="Times New Roman" w:hAnsi="Times New Roman" w:cs="Times New Roman"/>
          <w:b/>
        </w:rPr>
      </w:pPr>
      <w:r>
        <w:rPr>
          <w:rFonts w:ascii="Times New Roman" w:eastAsia="Times New Roman" w:hAnsi="Times New Roman" w:cs="Times New Roman"/>
          <w:b/>
          <w:color w:val="000000"/>
        </w:rPr>
        <w:t>Wykazanie wewnętrznej spójności obszaru</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b/>
        </w:rPr>
        <w:t>Spójność historyczno-kulturowa:</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Ogromne połacie leśne miały również wpływ na dzieje osadnictwa na tym terenie. Jeszcze w XII wieku rozległe obszary puszczy zasiedlone były w niewielkim stopniu zwykle w dolinach rzecznych. Były to plemiona Dziadoszan oraz Bobrzan w dolinie Bobru a na południowym zachodzie Bieżuńczanie a później Milczanie. W czasach średniowiecza i długo później miejscowa ludność trudniła się bartnictwem, węglarstwem, smolarstwem, rybołówstwem i łowiectwem. Od XIV i XV w. zaczęło się rozwijać hutnictwo żelaza i szklarstwo. Wiele miejscowości Borów zawdzięcza swój początek dawnym kuźniom żelaza które pracowały w oparciu o ubogie rudy darniowe. Szklarstwo rozwijało się intensywnie w Ruszowie, Pieńsku, Iłowej, Osiecznicy. Odkrycie bogatych złóż glin ceramicznych 86 przyczyniło się do powstania znanych na całą Europę fabryk porcelany w Parowej i Gozdnicy. Tradycje szklarskie i ceramiczne przetrwały na tym terenie do dziś. Tartacznictwo przerabiające surowiec drzewny skupiło się wzdłuż cieków wodnych ponieważ pierwotne drzewo przerabiano w tartakach napędzanych energią wodną. Tradycje przetwórstwa drzewnego również dotrwały do obecnych czasów. Podobnie bartnictwo które obecnie jako pszczelarstwo wytwarza znane i smaczne miody z Borów Dolnośląskich. Przez wieki Bory były obszarem ścierania się wpływów Śląskich i Łużyckich.</w:t>
      </w:r>
      <w:r>
        <w:rPr>
          <w:rFonts w:ascii="Cambria" w:eastAsia="Times New Roman" w:hAnsi="Cambria" w:cs="Cambria"/>
        </w:rPr>
        <w:t xml:space="preserve"> </w:t>
      </w:r>
      <w:r>
        <w:rPr>
          <w:rFonts w:ascii="Times New Roman" w:eastAsia="Times New Roman" w:hAnsi="Times New Roman" w:cs="Times New Roman"/>
        </w:rPr>
        <w:t>Przed Kongresem Wiedeńskim w 1815 r. tereny dolno- i górnołużyckie wchodziły w skład Saksonii, natomiast obszar księstwa żagańskiego (z Żaganiem i Przewozem) znajdował się pod panowaniem pruskim. W wyniku postanowień Kongresu Wiedeńskiego cały interesujący nas obszar znalazł się w granicach Prus. Władze pruskie włączyły zachodnie obszary Borów do dwóch prowincji – śląskiej oraz brandenburskiej. Do tej ostatniej wcielono jedynie powiat żarski (w ówczesnych granicach, tzn. bez Przewozu). Taki podział administracyjny utrzymał się do 1945 r. Po II wojnie światowej bardzo krótko Żagań i Żary z Przewozem stanowiły część woj. Wrocławskiego.</w:t>
      </w:r>
    </w:p>
    <w:p w:rsidR="00294BD0" w:rsidRDefault="00294BD0">
      <w:pPr>
        <w:spacing w:after="0" w:line="240" w:lineRule="auto"/>
        <w:ind w:left="284"/>
        <w:jc w:val="both"/>
        <w:rPr>
          <w:rFonts w:ascii="Times New Roman" w:eastAsia="Times New Roman" w:hAnsi="Times New Roman" w:cs="Times New Roman"/>
        </w:rPr>
      </w:pPr>
    </w:p>
    <w:p w:rsidR="00294BD0" w:rsidRDefault="00294BD0">
      <w:pPr>
        <w:numPr>
          <w:ilvl w:val="0"/>
          <w:numId w:val="27"/>
        </w:numP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b/>
          <w:color w:val="000000"/>
        </w:rPr>
        <w:t>Opis dziedzictwa kulturowego/zabytków</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Początki osadnictwa w Borach Dolnośląskich sięgają mezolitu (8000-4200 lat p.n.e.), kiedy to dotarła na ten teren ludność prowadząca koczowniczo-łowiecki tryb życia. W okresie średniowiecza Bory Dolnośląskie, ze względu na mało urodzajne gleby, nie podzieliły losu innych puszcz i nie zostały zamienione w pola uprawne. Kolonizacja nie przybrała tu zbyt wielkich rozmiarów i ograniczyła się głównie do dolin rzecznych. Miejscowa ludność trudniła się głównie bartnictwem, łowiectwem, rybołówstwem, węglarstwem i smolarstwem. Od XIV w. pomyślnie rozwijało się hutnictwo żelaza. Wiele miejscowości leżących w Borach Dolnośląskich (m.in. Jagodzin, Piaseczna, Świętoszów, Stary Węgliniec) zawdzięcza swój początek dawnym kuźniom żelaza (hamerniom), które pracowały w oparciu niskoprocentowe rudy darniowe.</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Bory Dolnośląskie odegrały istotną rolę obronną, mającą wpływ na kształtowanie się państwowości polskiej. Po dziś dzień, w tutejszych lasach możemy napotkać szczątki tajemniczych fortyfikacji, zwanych Wałami Śląskimi. Ich powstanie datuje się na przełom VIII i IX wieku.</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 koniec XIII w. z inicjatywy księcia Bolka I Surowego wybudowano lub umocniono szereg zamków na terenie Borów m.in. w Kliczkowie. Prace fortyfikacyjne kontynuował jeszcze ostatni niezawisły piast śląski, Bolko II Mały, który w latach 60-tych XIV w. wzniósł nad Czerną Wielką zamek w Nowinach. Przepływająca przez Bory Dolnośląskie Kwisa od co najmniej XIII w. pełniła rolę rzeki granicznej, oddzielającej Śląsk od Łużyc. W 1815 r. nastąpiło rozszerzenie państwa pruskiego w kierunku zachodnim (kosztem Saksonii) i cały obszar Borów Dolnośląskich znalazł się w prowincji śląskiej. Po II wojnie światowej, na mocy postanowień  konferencji poczdamskiej w 1945 r. nastąpiło przesunięcie granic Polski do Nysy Łużyckiej. Na miejsce wysiedlonej ludności niemieckiej przybyli przesiedleńcy z Kresów Wschodnich, osadnicy wojskowi, reemigranci polscy z Bośni-Hercegowiny, Francji, Belgii oraz Czechosłowacji, Łemkowie, Bojkowie i Ukraińcy wysiedleni z Polski południowo-wschodniej, a nawet uchodźcy Greccy i Macedońscy. Różnorodność kultur i tradycji przez lata miał wpływ na kształtowanie się specyficznego charakteru tego obszaru.</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Pomimo opuszczenia przez wojska radzieckie miejscowych baz wojskowych w latach 90-tych minionego stulecia, znaczne połacie Borów Dolnośląskich nadal nie są udostępnione okolicznym mieszkańcom, turystom i zbieraczom grzybów oraz jagód. Powierzchnia położonego na obydwu brzegach Kwisy poligonu wojskowego Żagań-Świętoszów, jednego z największych w Polsce, wynosi 38,4 tys. ha.</w:t>
      </w:r>
    </w:p>
    <w:p w:rsidR="00294BD0" w:rsidRDefault="00294BD0">
      <w:pPr>
        <w:spacing w:after="0" w:line="240" w:lineRule="auto"/>
        <w:ind w:left="284"/>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Gospodarka tego obszaru wiąże się z wielowiekowymi tradycjami hutnictwa żelaza, produkcji szkła i porcelany, kopalnictwa węgla brunatnego i innych surowców mineralnych, przemysłu leśnego, węglarstwa i smolarstwa, bartnictwa, zbieractwa, łowiectwa i rybactwa stawowego.</w:t>
      </w:r>
    </w:p>
    <w:p w:rsidR="00294BD0" w:rsidRDefault="00294BD0">
      <w:pPr>
        <w:tabs>
          <w:tab w:val="left" w:pos="360"/>
        </w:tabs>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Zabytki </w:t>
      </w:r>
    </w:p>
    <w:p w:rsidR="00294BD0" w:rsidRDefault="00294BD0">
      <w:pPr>
        <w:spacing w:after="0" w:line="240" w:lineRule="auto"/>
        <w:ind w:left="284"/>
        <w:jc w:val="both"/>
        <w:rPr>
          <w:rFonts w:ascii="Times New Roman" w:hAnsi="Times New Roman" w:cs="Times New Roman"/>
          <w:b/>
        </w:rPr>
      </w:pPr>
      <w:r>
        <w:rPr>
          <w:rFonts w:ascii="Times New Roman" w:eastAsia="Times New Roman" w:hAnsi="Times New Roman" w:cs="Times New Roman"/>
          <w:color w:val="000000"/>
        </w:rPr>
        <w:t xml:space="preserve">W zachodniej części Borów Dolnośląskich znajduje się stosunkowo dużo niezwykle wartościowych zabytków, pochodzących z różnych okresów architektonicznych. Przeważająca część zabytków zlokalizowana jest na obszarach byłego księstwa żagańskiego (okolice Żagania i Przewozu) oraz Dolnych Łużyc w rejonie Żar. Na przykład kościoły wiejskie ze Starego Żagania, Lutynki czy Biedrzychowic należą do grona najlepiej zachowanych romańskich budowli sakralnych w województwie Lubuskim. Na terenie dawnego księstwa żagańskiego możemy również podziwiać relikty średniowiecznych zamków książęcych (Przewóz) oraz warowne siedziby rycerskie (m.in. Dzietrzychowice, Miodnica, Witków). W południowo-zachodniej (górnołużyckiej) części Borów Dolnośląskich na wyróżnienie zasługuje zespół pałacowo-parkowy w Iłowej. </w:t>
      </w:r>
    </w:p>
    <w:p w:rsidR="00294BD0" w:rsidRDefault="00294BD0">
      <w:pPr>
        <w:spacing w:after="0" w:line="240" w:lineRule="auto"/>
        <w:rPr>
          <w:rFonts w:ascii="Times New Roman" w:hAnsi="Times New Roman" w:cs="Times New Roman"/>
          <w:b/>
        </w:rPr>
      </w:pPr>
    </w:p>
    <w:p w:rsidR="00294BD0" w:rsidRDefault="00294BD0">
      <w:pPr>
        <w:numPr>
          <w:ilvl w:val="0"/>
          <w:numId w:val="27"/>
        </w:numPr>
        <w:autoSpaceDE w:val="0"/>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Charakterystyka obszarów atrakcyjnych turystycznie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Niewątpliwie ośrodkiem turystycznym o znaczeniu międzynarodowym, gdzie rozwijają się różnorodne formy turystyki jest Zamek Kliczków, należący do najbardziej rozpoznawalnych obiektów turystycznych w Polsce i jednym z najczęściej odwiedzanych przez turystów zagranicznych. To miejsce styku kilku najważniejszych szlaków w Borach Dolnośląskich i miejsce organizacji największych i najbardziej rozpoznawalnych imprez w regionie.</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Zamek Kliczków jest największym ośrodkiem turystycznym, skupiającym ponad 90% ruchu turystycznego w Borach Dolnośląskich. Główne formy świadczonych usług skupiają się na Centrum Konferencyjno-Wypoczynkowym i organizacji turystyki biznesowej. Ponadto szlak konny, szlak zabytkowych parków i ogrodów po obu stronach Nysy, szlak kulinarny oraz szlak wodny na rzece Kwisa stanowią idealne uzupełnienie pobytu na Zamku. Obiekt ten jest również organizatorem największych w regionie imprez o znaczeniu krajowym i regionalnym. Do największych zaliczyć należy majówkę organizowaną w pierwszy długi weekend maja oraz Festiwal Kulinarny Borów Dolnośląskich „Ale pasztet” organizowany cyklicznie na przełomie października i listopada i mający na celu propagowanie tradycyjnej kuchni regionalnej. Zamek Kliczków to także centrum edukacyjne świadczące oferty adresowane głównie do szkół. Stanowi także bazę wypadową w okresie intensywnego zbioru runa leśnego ponieważ stwarza możliwości natychmiastowej obróbki świeżo zebranych owoców lasu na terenie ogólnodostępnego punktu. </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Innym takim obiektem jest Bike Hotel mający swoją siedzibę w Przewozie. Z racji na swoją transgraniczną lokalizację oraz pakiet usług przyjmuje dużą liczbę gości zagranicznych, których pasja koncentruje się na jeździe rowerem oraz na spływach rzeką Nysa Łużycka. Jest organizatorem rajdów rowerowych. Często włącza się w wydarzenia organizowane na terenie gminy i regionu. Posiada certyfikowane obiekty nadawane zarówno przez partnerów niemieckich jak i polskich. Dostęp do wypożyczalni rowerów oraz kajaków. Bike Hotel współpracuje przy tym z wieloma partnerami po drugiej stronie Nysy.</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Ośrodkami turystycznymi o randze regionalnej są także: Dworek Bogumiłów i Gospodarstwo Agroturystyczne „Agro-Relax”</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Dworek Bogumiłów to miejsce organizacji dużych spotkań zarówno konferencji, szkoleń jak i imprez rodzinnych. Właściciel z zamiłowania pasjonat łowiectwa oferuje tradycyjną kuchnię opartą o runo leśne. Obiekt także koncentruje się na edukacji przyrodniczo-leśnej w tym także edukacji łowieckiej. To również jeden z największych ośrodków związanych z rekreacją konną. Posiada mini zoo oraz dostęp do zarybianych łowisk.</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Gospodarstwo Agroturystyczne „Agro-Relax” Usytuowane w malowniczym miejscu wśród rozległych grzybodajnych lasów. W gospodarstwie przeważa głównie turystyka przyrodnicza. Gospodarstwo to podobnie jak Zamek Kliczków zlokalizowane jest na stuku kilku ważnych szlaków w tym szlaku kulinarnego, szlaku konnego, szlaku legend i mitów Borów Dolnośląskich i szlaków rowerowych. Specjalizuje się jednak w rozwijaniu oferty kulinarnej regionu. Poza prowadzeniem kuchni z tradycyjną kuchnią opartą o runo leśne prowadzi także warsztaty kulinarne w trakcie których edukuje dzieci i młodzież z metod, narzędzi i receptury wyrobu chleba, masła czy twarogu. Właścicielka zajmuje się również ziołolecznictwem i aromaterapią.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regionie Borów Dolnośląskich istnieje ponadto kilka ośrodków, gdzie turystyka rozwija się lecz na poziomie bardziej lokalnym. Służą temu cenne i godne wyeksponowania walory. Należą do nich:</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Zajazd Milówka w Piasecznej</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w Borowem</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Ośrodek Agroturystyczny Jagoda w Czerwonej Wodzie</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„U Jasinka” w Kościelnej Wsi</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Green Park w Czyżówku</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Rolne Pana Janusza Chrząstka w Czyżówku</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oparciu o te ośrodki rozwijają się pewne formy turystyki przyrodniczej połączonej z turystyką aktywną. To również główne obiekty noclegowe w regionie</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Pomimo iż Bory Dolnośląskie znane są przede wszystkim ze sprzyjających warunków do uprawiania turystyki aktywnej i specjalistycznej to w dalszym ciągu jedną z najmniej rozwijających się form turystyki w regionie jest aktywna turystyka pobytowa, ściśle związana z wypoczynkiem w ośrodkach wypoczynkowych.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Turystyka weekendowa uprawiana jest głównie przez mieszkańców samego regionu Borów Dolnośląskim w tym także mieszkańców Wrocławia i innych pobliskich miejscowości zlokalizowanych wzdłuż autostrady A4. Opiera się głównie o rozwijające się obiekty agroturystyczne, rzadziej o pensjonaty czy hotele. Najważniejsze regiony rozwoju obiektów agroturystycznych to rejon gmin Osiecznica, Żary, Iłowa. Są to najczęściej adoptowane i wysoko wyspecjalizowane obiekty oferujące poza noclegiem i wyżywieniem szereg innych atrakcji. Niewiele mają wspólnego z tradycyjną wizją wiejskiego wypoczynku. To przede wszystkim kompleksowe oferty pobytu weekendowego z pełnym pakietem zagospodarowania czasu wolnego oraz z możliwością wykorzystania atrakcji w najbliższej okolicy. Warunkiem sprzyjającym tak dużemu zainteresowaniu agroturystyczną formą wypoczynku jest rozwijająca się w takich miastach jak Bolesławiec, Żary czy Żagań oferta hoteli oferująca znacznie wyższe ceny za swoje usługi. Ponadto rozwijająca się współpraca pomiędzy ośrodkami agroturystycznymi dodatkowo zwiększa pakiet atrakcji, ale także pozwala na wydłużenie pobytu w regionie o kolejne dni. Niestety rozmieszczenie kwater agroturystycznych w obrębie regionu jest bardzo nierównomierne, co proces ten znacznie utrudnia i nierównomiernie wpływa na rozwój turystyczny całego regionu. </w:t>
      </w:r>
    </w:p>
    <w:p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color w:val="000000"/>
        </w:rPr>
        <w:t xml:space="preserve">Cenne i unikatowe, niespotykane na innych terenach walory przyrodnicze Borów Dolnośląskich oraz liczne obszary chronione sprawiają, że turystyka przyrodnicza jest kolejną z form wypoczynku w regionie. Turystyka przyrodnicza rozwija się przede wszystkim na obszarach chronionych Obszary NATURA 2000 oraz w rezerwatach przyrody. Wszędzie tam istnieją wspomagające ją elementy infrastruktury w postaci muzeów, sal wystawowych, ścieżek dydaktycznych, oraz ośrodków edukacji przyrodniczej i leśnej. Ta forma turystyki uprawiana jest zarówno przez turystów indywidualnych, jak i zorganizowane grupy.  Wśród turystów-przyrodników odwiedzających Bory Dolnośląskie znaczną część stanowią goście o zainteresowaniach ornitologicznych. Preferowane formy turystyki przyrodniczej to obserwacje ptaków i innych zwierząt w ich środowisku naturalnym, foto-safari oraz wyprawy zapoznające turystów z najciekawszymi zbiorowiskami roślinnymi i krajobrazami określonego regionu. Jedną z form turystyki przyrodniczej jest turystyka edukacyjna, obejmująca głównie grupy młodzieży szkolnej.  </w:t>
      </w:r>
    </w:p>
    <w:p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Obszary Natura 2000</w:t>
      </w:r>
    </w:p>
    <w:p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Obszary specjalnej ochrony (tzw. Dyrektywa Ptasia):</w:t>
      </w:r>
    </w:p>
    <w:p w:rsidR="00294BD0" w:rsidRDefault="00294BD0">
      <w:pPr>
        <w:numPr>
          <w:ilvl w:val="0"/>
          <w:numId w:val="28"/>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 xml:space="preserve">„Bory Dolnośląskie” </w:t>
      </w:r>
      <w:r>
        <w:rPr>
          <w:rFonts w:ascii="Times New Roman" w:eastAsia="Times New Roman" w:hAnsi="Times New Roman" w:cs="Times New Roman"/>
        </w:rPr>
        <w:t>(171 093,4 ha)</w:t>
      </w:r>
      <w:r>
        <w:rPr>
          <w:rFonts w:ascii="Times New Roman" w:eastAsia="Times New Roman" w:hAnsi="Times New Roman" w:cs="Times New Roman"/>
          <w:b/>
        </w:rPr>
        <w:t xml:space="preserve"> - </w:t>
      </w:r>
      <w:r>
        <w:rPr>
          <w:rFonts w:ascii="Times New Roman" w:eastAsia="Times New Roman" w:hAnsi="Times New Roman" w:cs="Times New Roman"/>
        </w:rPr>
        <w:t>obszar położony w dorzeczu Odry, a główną przepływającą przez niego rzeką jest Bóbr. Rzeźba terenu jest mało zróżnicowana, przeważają tereny równinne. Południkowo przecinają je doliny rzek. Występują tu zwarte drzewostany sosnowe z ubogim runem, które stanowi wrzos i borówka. W podszycie występuje jałowiec i żarnowiec. Panującym gatunkiem jest sosna, domieszkowo występuje dąb, brzoza, buk oraz jodła i świerk. W bardziej żyznych rejonach występują bory mieszane i lasy liściaste (fragmenty buczyn i grądów). Doliny rzeczne stanowią enklawy z bardziej bujną i wielowarstwową roślinnością. Urozmaicenie stanowią także liczne stawy rybne. Niektóre z nich są porośnięte szuwarami, natomiast część jest pozbawiona roślinności wskutek ich renowacji. Występuje tu co najmniej 19 gatunków ptaków z Załącznika I Dyrektywy Ptasiej i 9 gatunków z Polskiej Czerwonej Księgi (PCK).</w:t>
      </w:r>
    </w:p>
    <w:p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Specjalne obszary ochrony (tzw. Dyrektywa Siedliskowa):</w:t>
      </w:r>
    </w:p>
    <w:p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„Uroczyska Borów Dolnośląskich”</w:t>
      </w:r>
      <w:r>
        <w:rPr>
          <w:rFonts w:ascii="Times New Roman" w:eastAsia="Times New Roman" w:hAnsi="Times New Roman" w:cs="Times New Roman"/>
        </w:rPr>
        <w:t xml:space="preserve"> (12 227,39 ha) - położony w zachodniej oraz północno-zachodniej części Borów Dolnośląskich, swym zasięgiem obejmuje m.in. Stawy Parowskie, trzy rezerwaty przyrody („Torfowisko pod Węglińcem”, „Wrzosiec koło Piasecznej” i „Żurawie Bagno”), dolinę Czernej Wielkiej, Czernej Małej, Lubszy i Las Żarski. </w:t>
      </w:r>
      <w:r>
        <w:rPr>
          <w:rFonts w:ascii="Times New Roman" w:eastAsia="Times New Roman" w:hAnsi="Times New Roman" w:cs="Times New Roman"/>
          <w:bCs/>
        </w:rPr>
        <w:t>.</w:t>
      </w:r>
      <w:r>
        <w:rPr>
          <w:rFonts w:ascii="Times New Roman" w:eastAsia="Times New Roman" w:hAnsi="Times New Roman" w:cs="Times New Roman"/>
        </w:rPr>
        <w:t xml:space="preserve"> Obszar zdominowany jest głównie przez sosnę, porastającą ubogie, piaszczyste gleby, miejscami podtopione. Natomiast lasy liściaste występują tu bardzo rzadko i koncentrują się jedynie w dolinach niewielkich rzek i mniejszych cieków wodnych. Na tych terenach można także spotkać dobrze zachowane torfowiska.</w:t>
      </w:r>
    </w:p>
    <w:p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“Wrzosowiska Świętoszowsko-Ławszowskie”</w:t>
      </w:r>
      <w:r>
        <w:rPr>
          <w:rFonts w:ascii="Times New Roman" w:eastAsia="Times New Roman" w:hAnsi="Times New Roman" w:cs="Times New Roman"/>
        </w:rPr>
        <w:t xml:space="preserve"> (10 141, 62 ha) - obszar ostoi wchodzi w skład gm. Osiecznica i Nadleśnictwa Świętoszów. Składa się on z dwóch części: użytkowanego przez wojsko rozległego poligonu w obrębie Świętoszów oraz oddzielonego od niego doliną Kwisy, nie użytkowanego obecnie, poligonu w obrębie Ławszowa. Znajdują się tu także zatorfione obniżenia (około 40 ha), co tworzy doskonałe warunki siedliskowe dla wielu gatunków ptaków i owadów – trafić można między innymi na stanowiska zalotki większej i trzepli zielonej. Warto podkreślić, że na obszarze znajdują się również siedlisk wilka, które znajdują się pod ochroną;</w:t>
      </w:r>
    </w:p>
    <w:p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“Dolina Dolnej Kwisy”</w:t>
      </w:r>
      <w:r>
        <w:rPr>
          <w:rFonts w:ascii="Times New Roman" w:eastAsia="Times New Roman" w:hAnsi="Times New Roman" w:cs="Times New Roman"/>
        </w:rPr>
        <w:t xml:space="preserve"> (5 972 ha) - ostoja obejmuje dolinę Kwisy od Nowogrodźca po ujście rzeki do Bobru. Na tym odcinku Kwisa w znacznym stopniu zachowała swój naturalny charakter. Dolina Dolnej Kwisy to przede wszystkim siedliska płazów i bezkręgowców;</w:t>
      </w:r>
    </w:p>
    <w:p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„Dąbrowy Kliczkowskie”</w:t>
      </w:r>
      <w:r>
        <w:rPr>
          <w:rFonts w:ascii="Times New Roman" w:eastAsia="Times New Roman" w:hAnsi="Times New Roman" w:cs="Times New Roman"/>
        </w:rPr>
        <w:t xml:space="preserve"> (552,9 ha) - kompleks leśny wchodzący w skład Borów Dolnośląskich, który rozciąga się pomiędzy Kwisą a Bobrem. Na obszarze przeważają drzewostany sosnowe z licznymi przestojami dębowymi, natomiast w zachodniej części występują zwarte fragmenty kwaśnych dąbrów. Tereny Dąbrowy Kliczkowskiej posiadają bogatą fauną bezkręgowców, stwierdzono również występowanie przechodnich wilków. Poza tym jest to miejsce, gdzie pojawiają się zagrożone gatunki ptaków, m.in. włochatki i sóweczki);</w:t>
      </w:r>
    </w:p>
    <w:p w:rsidR="00294BD0" w:rsidRDefault="00294BD0">
      <w:pPr>
        <w:spacing w:after="0" w:line="240" w:lineRule="auto"/>
        <w:ind w:left="284" w:firstLine="76"/>
        <w:jc w:val="both"/>
        <w:rPr>
          <w:rFonts w:ascii="Times New Roman" w:hAnsi="Times New Roman" w:cs="Times New Roman"/>
          <w:b/>
        </w:rPr>
      </w:pPr>
      <w:r>
        <w:rPr>
          <w:rFonts w:ascii="Times New Roman" w:eastAsia="Times New Roman" w:hAnsi="Times New Roman" w:cs="Times New Roman"/>
          <w:b/>
        </w:rPr>
        <w:t>Parki Krajobrazowe:</w:t>
      </w:r>
    </w:p>
    <w:p w:rsidR="00294BD0" w:rsidRDefault="00294BD0">
      <w:pPr>
        <w:pStyle w:val="Akapitzlist"/>
        <w:numPr>
          <w:ilvl w:val="0"/>
          <w:numId w:val="13"/>
        </w:numPr>
        <w:jc w:val="both"/>
        <w:rPr>
          <w:rFonts w:ascii="Times New Roman" w:hAnsi="Times New Roman"/>
          <w:b/>
        </w:rPr>
      </w:pPr>
      <w:r>
        <w:rPr>
          <w:rFonts w:ascii="Times New Roman" w:hAnsi="Times New Roman"/>
          <w:b/>
        </w:rPr>
        <w:t xml:space="preserve">Park krajobrazowy łuk mużakowa -  </w:t>
      </w:r>
      <w:r>
        <w:rPr>
          <w:rFonts w:ascii="Times New Roman" w:hAnsi="Times New Roman"/>
        </w:rPr>
        <w:t>położony w</w:t>
      </w:r>
      <w:r>
        <w:rPr>
          <w:rFonts w:ascii="Times New Roman" w:hAnsi="Times New Roman"/>
          <w:b/>
        </w:rPr>
        <w:t xml:space="preserve"> </w:t>
      </w:r>
      <w:r>
        <w:rPr>
          <w:rFonts w:ascii="Times New Roman" w:hAnsi="Times New Roman"/>
        </w:rPr>
        <w:t xml:space="preserve">woj. Lubuskim, Powiecie Żarskim (gminy: Brody, Tuplice, Trzebiel, Łęknica, Przewóz). Park obejmuje tereny położone w południowej części województwa lubuskiego, w strefie pogranicza z Niemcami o cennych wartościach przyrodniczych, historycznych i kulturowych. Obszar Parku pokrywa się z zasięgiem Łuku Mużakowskiego, formy geologicznej, znanej też jako Łużycki Wał Graniczny. Łuk ten ma kształt podkowy otwartej ku północy, o dł. ok. 40 km i szerokości 3-4 km. Nysa Łużycka dzieli Łuk na dwie części w jednym z piękniejszych parków przypałacowych w Europie w m. Łęknica. Na obszarze Parku występuje znaczna ilość stawów w wyrobiskach po odkrywkowej eksploatacji węgla brunatnego oraz pożwirowych. </w:t>
      </w:r>
    </w:p>
    <w:p w:rsidR="00294BD0" w:rsidRDefault="00294BD0">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b/>
        </w:rPr>
        <w:t>Rezerwaty Przyrody:</w:t>
      </w:r>
    </w:p>
    <w:p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Żurawie bagno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 Rezerwat typu wodno-torfowiskowego stanowi fragment dawnego jeziora na skutek ekspansji lasu częściowo osuszonego. Typ siedliskowy -  Bór Bagienny. Całą powierzchnię stanowi bagno w części środkowej zalane wodą. W częściach bardziej osuszonych porośnięte grupowo brzozą i sosną w wieku 10 - 20 lat. Sosną karłowatą w II - IV klasie wieku oraz brzozą w tym samym wieku. Liczne suchoczuby. Teren równy w części zachodniej wklęsły. Gleba bagienna - torf średnio głęboki, na piaskach gliniastych. Pokrywa zachwaszczona, występuje tu trzcina, trzęślica modra, sit, turzyce, torfowce, rosiczki wszystkie trzy formy wełnianka pochwowata, bagno zwyczajne. </w:t>
      </w:r>
    </w:p>
    <w:p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Nad młyńską strugą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Przewóz.Rezerwat otoczony jest od strony północnej rzeczką Skródą, od zachodu, południa i wschodu lasami. Stanowi go fragment charakterystycznego lasu naturalnego mieszanego z bogatym runem właściwym dla borów bukowo-dębowych. Na całej partii poddanej pod ochronę przeważa buk i dąb. Występuje także sosna, lipa, wiąz, modrzew, grab, jarzębiny, klon, jodła, świerk, pojedynczo dąb, buk w II klasie wieku. W podszycie występują: bez, jarzębina, świerk, kruszyna, osika, dąb pokrywający 55% powierzchni. Zwarcie umiarkowane, miejscami przerywane i przechodzące w luźne. Teren lekko falisty, miejscami równy. Gleba brunatna, piaski luźne przemieszane z płytką próchnicą. Na piaskach gliniastych lekkich z domieszką żwiru świeżego. W runi występują: paproć orlica, śmiałek darniowy, borówka czernica, turzyce, kosmatka, fiołek, sałatnik leśny, szczawik zajęczy, narecznica malina. </w:t>
      </w:r>
    </w:p>
    <w:p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Zacisze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Przewóz.Rezerwat obejmuje zachowane w stanie naturalnym lub mało zmienionym ekosystemy, ostoje i siedliska przyrodnicze, w tym siedliska rzadkich gatunków różnych roślin. Obszar charakteryzuje się występowaniem fitocenoz reprezentujących siedliska: brzegi lub osuszane dna zbiorników wodnych ze zbiorowiskami z Kl. Littorelleta – 3130, obniżenia na podłożu torfowym z roślinnością ze związku Rhynchsporion -7110. Niemalże na całej powierzchni występują rzadkie i zagrożone gatunki roślin m.in. ponikło wielołodygowe (Eleocharis multicaulis), przygiełka brunatna (Rhynchospora fusca), wrzosiec bagienny (Erica tetralix). Obszar jest również atrakcyjnym miejscem dla fauny preferującej siedliska wodno-błotne. </w:t>
      </w:r>
    </w:p>
    <w:p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Przygiełkowe moczary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 Rezerwat obejmuje zachowane w stanie naturalnym lub mało zmienionym ekosystemy, ostoje i siedliska przyrodnicze, w tym siedliska rzadkich gatunków różnych roślin. W wodno-torfowiskowych ekosystemach występują rzadkie i zagrożone gatunki roślin: ponikło wielołodygowe (Eleocharis multicaulis), przygiełka brunatna (Rhynchospora fusca), wrzosiec bagienny (Erica tetralix). Obszar jest również atrakcyjnym miejscem dla fauny preferującej siedliska wodno-błotne. </w:t>
      </w:r>
    </w:p>
    <w:p w:rsidR="00294BD0" w:rsidRDefault="00294BD0">
      <w:pPr>
        <w:spacing w:after="0" w:line="240" w:lineRule="auto"/>
        <w:ind w:left="360"/>
        <w:jc w:val="both"/>
        <w:rPr>
          <w:rFonts w:ascii="Times New Roman" w:eastAsia="Times New Roman" w:hAnsi="Times New Roman" w:cs="Times New Roman"/>
          <w:b/>
        </w:rPr>
      </w:pP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 xml:space="preserve">Zanieczyszczenie środowiska </w:t>
      </w:r>
    </w:p>
    <w:p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Stan jakości powietrza na omawianym obszarze jest dobry. Uciążliwością dla środowiska i mieszkańców jest tu niska emisja i emisja komunikacyjna. Problemem jest również wypalanie ściernisk, co jest przyczyną znacznej emisji zanieczyszczeń do powietrza atmosferycznego. Zagrożenie emisją komunikacyjną występuje głównie w miejscowościach, przez które przebiegają drogi krajowe. Zanieczyszczenia komunikacyjne to przede wszystkim tlenki azotu, tlenek węgla i węglowodory aromatyczne, w tym benzen, wykazujący działanie kancerogenne. Największe potencjalne zagrożenie hałasem i emisją spalin występuje wzdłuż dróg krajowych, w szczególności w centrach miejscowości w otoczeniu gęstej zabudowy. Niezbędne jest również ustalenie miejsc ważnych z punktu widzenia migracji zwierząt czy występowania roślin i zaprojektowanie miejsc budowy przepustów lub estakad. </w:t>
      </w: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Emisja:</w:t>
      </w:r>
    </w:p>
    <w:p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W grupie substancji emitowanych podczas spalania węgla w paleniskach domowych i lokalnych kotłowniach, oprócz dwutlenku siarki, pyłów i tlenków azotu, znajduje się także sadza, zawierająca wielopierścieniowe węglowodory aromatyczne w tym benzo-apiren, stanowiące największe potencjalne zagrożenie zdrowotne. </w:t>
      </w: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Eksploatacja kopalin:</w:t>
      </w:r>
    </w:p>
    <w:p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Eksploatacja złóż kruszywa naturalnego i surowców ilastych ma charakter odkrywkowy. Eksploatacja taka powoduje rozległe powierzchniowe zmiany terenu w formie wyrobisk oraz zmiany w pionowym ukształtowaniu rzeźby, a co za tym idzie zwiększa się podatność na erozję odkrytych warstw ziemi i może następować obniżenie poziomu wód gruntowych. Dzikie wyrobiska powstają w pobliżu powstających osiedli domków jednorodzinnych, nowych dróg, tam gdzie jest duże zapotrzebowanie na surowce budowlane. Ze względu na płytkie zaleganie są one łatwo dostępne. W praktyce na terenie każdej z gmin występują nielegalne wyrobiska. </w:t>
      </w: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Zagrożenie pożarami:</w:t>
      </w:r>
    </w:p>
    <w:p w:rsidR="00294BD0" w:rsidRDefault="00294BD0">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Na obszarze realizacji strategii ok. 68% powierzchni stanowią lasy. Tak duże skupisko terenów leśnych niesie ze sobą zagrożenie pożarami. Pożary lasów są najczęściej skutkiem działalności człowieka sprzecznej z przepisami przeciwpożarowymi.</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Rozwijającą się od lat w regionie formą turystyki jest turystyka piesza, która w znakomity sposób łączy ze sobą takie typy turystyki jak: turystyka przyrodnicza, kulturowa i agroturystyka. Uprawiana jest głównie przez turystów indywidualnych i grupy młodzieżowe. Turystyce pieszej służy dość dobrze rozwinięta w regionie sieć znakowanych szlaków turystycznych. Najwięcej szlaków turystycznych wytyczonych jest na ternie gminy Osiecznica, Wymiarki, Węgliniec, w pozostałych częściach regionu jest ona dość rzadka i wymaga uzupełnień.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Coraz bardziej popularna w całym kraju staje się turystyka rowerowa. Ten rodzaj turystyki pozwala na szybkie przemieszczanie się od miejscowości obfitujących w zabytki do obszarów najbardziej interesujących pod względem przyrodniczym, co stanowi duże urozmaicenie. W ostatnich latach powstała sieć szlaków rowerowych także na terenie Borów Dolnośląskich. Brakuje jednak wypożyczalni rowerów z możliwością wypożyczenia w jednym miejscu, a oddanie ich w innym, a także przewodników po trasach rowerowych.</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Turystyka wodna, a zwłaszcza kajakarstwo i spływy pontonowe,  są jedną z najważniejszych form turystyki w Borach Dolnośląskich. Szczególną rolę pełni tu rzeka Kwisa, Czerna Wielka, Bóbr oraz Nysa Łużycka. Mankamentem jest natomiast niedostatek infrastruktury: brak wypożyczalni kajaków, pontonów i stanic wodnych oraz imprez kajakowych popularyzujących szlaki wodne regionu.</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Borach Dolnośląskich istnieją dobre, ciągle nie w pełni wykorzystane warunki do uprawiania turystyki konnej (znaczna powierzchnia obszarów leśnych i terenów słabo zaludnionych). Za mało jest gospodarstw i pensjonatów oferujących różne formy turystyki konnej (konie pod siodło, przejazdy bryczkami i wozami). Brak większych stadnin i ośrodków turystyki jeździeckiej. Niewielkie ośrodki turystyki konnej znajdują się w Kliczkowie, Bogumiłowie, Kościelnej Wsi, Czyżówku, Starym Żaganiu, Łozach, Rudawicy. Formą turystyki konnej są również kuligi, organizowane jako standardowy zimowy produkt turystyczny, a także w wielu kwaterach agroturystycznych.</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Intensywność ruchu turystycznego na obszarze LGD została obliczona na podstawie </w:t>
      </w:r>
      <w:r>
        <w:rPr>
          <w:rFonts w:ascii="Times New Roman" w:eastAsia="Times New Roman" w:hAnsi="Times New Roman" w:cs="Times New Roman"/>
          <w:bCs/>
        </w:rPr>
        <w:t>Wskaźnika Schneidera (</w:t>
      </w:r>
      <w:r>
        <w:rPr>
          <w:rFonts w:ascii="Times New Roman" w:eastAsia="Times New Roman" w:hAnsi="Times New Roman" w:cs="Times New Roman"/>
          <w:shd w:val="clear" w:color="auto" w:fill="FFFFFF"/>
        </w:rPr>
        <w:t>wskaźnik intensywności ruchu turystycznego, wyrażony liczbą turystów korzystających z noclegów, przypadającą na 1000 mieszkańców stałych)</w:t>
      </w:r>
      <w:r>
        <w:rPr>
          <w:rFonts w:ascii="Times New Roman" w:eastAsia="Times New Roman" w:hAnsi="Times New Roman" w:cs="Times New Roman"/>
        </w:rPr>
        <w:t>. Wskaźnik dla województwa lubuskiego w 2013 roku wyniósł 1169,60, a dla województwa dolnośląskiego 2034,02. Natomiast wskaźnik dla powiatów przedstawia się następująco: żagański 432,87; żarski 361,32, bolesławiecki 499,45 i zgorzelecki 610,75. Schemat graficzny przedstawiający powyższe informacje został przedstawiony poniżej.</w:t>
      </w:r>
    </w:p>
    <w:p w:rsidR="00294BD0" w:rsidRDefault="00294BD0">
      <w:pPr>
        <w:autoSpaceDE w:val="0"/>
        <w:spacing w:after="0" w:line="240" w:lineRule="auto"/>
        <w:ind w:left="284"/>
        <w:jc w:val="both"/>
        <w:rPr>
          <w:rFonts w:ascii="Times New Roman" w:eastAsia="Times New Roman" w:hAnsi="Times New Roman" w:cs="Times New Roman"/>
        </w:rPr>
      </w:pPr>
    </w:p>
    <w:p w:rsidR="00294BD0" w:rsidRDefault="00EA57E7">
      <w:pPr>
        <w:autoSpaceDE w:val="0"/>
        <w:spacing w:after="0" w:line="240" w:lineRule="auto"/>
        <w:ind w:left="284"/>
        <w:jc w:val="center"/>
        <w:rPr>
          <w:rFonts w:ascii="Times New Roman" w:eastAsia="Times New Roman" w:hAnsi="Times New Roman" w:cs="Times New Roman"/>
          <w:i/>
          <w:color w:val="000000"/>
        </w:rPr>
      </w:pPr>
      <w:r>
        <w:rPr>
          <w:rFonts w:ascii="Times New Roman" w:eastAsia="Times New Roman" w:hAnsi="Times New Roman" w:cs="Times New Roman"/>
          <w:noProof/>
          <w:color w:val="FF0000"/>
          <w:lang w:val="pl-PL"/>
        </w:rPr>
        <w:drawing>
          <wp:inline distT="0" distB="0" distL="0" distR="0">
            <wp:extent cx="4171950" cy="2505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2505075"/>
                    </a:xfrm>
                    <a:prstGeom prst="rect">
                      <a:avLst/>
                    </a:prstGeom>
                    <a:solidFill>
                      <a:srgbClr val="FFFFFF"/>
                    </a:solidFill>
                    <a:ln>
                      <a:noFill/>
                    </a:ln>
                  </pic:spPr>
                </pic:pic>
              </a:graphicData>
            </a:graphic>
          </wp:inline>
        </w:drawing>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Wykres 4.</w:t>
      </w:r>
      <w:r>
        <w:rPr>
          <w:rFonts w:ascii="Times New Roman" w:eastAsia="Times New Roman" w:hAnsi="Times New Roman" w:cs="Times New Roman"/>
          <w:i/>
          <w:color w:val="000000"/>
        </w:rPr>
        <w:t xml:space="preserve"> Intensywność ruchu turystycznego na obszarze LGD. Źródło – GUS/Bank Danych Lokalnych</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numPr>
          <w:ilvl w:val="0"/>
          <w:numId w:val="27"/>
        </w:numPr>
        <w:tabs>
          <w:tab w:val="left" w:pos="284"/>
        </w:tabs>
        <w:autoSpaceDE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Opis produktów lokalnych, tradycyjnych i regionalnych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Produkty regionalne nawiązują do tradycji i zwyczajów związanych z danym obszarem geograficznym. Najcenniejszym i do tej pory najbardziej rozpoznawalnym w regionie i kraju produktem spożywczym z Borów Dolnośląskich jest wspominany </w:t>
      </w:r>
      <w:r>
        <w:rPr>
          <w:rFonts w:ascii="Times New Roman" w:eastAsia="Times New Roman" w:hAnsi="Times New Roman" w:cs="Times New Roman"/>
          <w:b/>
          <w:color w:val="000000"/>
        </w:rPr>
        <w:t>wyżej miód wrzosowy</w:t>
      </w:r>
      <w:r>
        <w:rPr>
          <w:rFonts w:ascii="Times New Roman" w:eastAsia="Times New Roman" w:hAnsi="Times New Roman" w:cs="Times New Roman"/>
          <w:color w:val="000000"/>
        </w:rPr>
        <w:t xml:space="preserve">, zgłoszony do unijnej ochrony jako chronione oznaczenie geograficzne, ze względu na swoją wysoką jakość i niepowtarzalne walory smakowe oraz tradycyjne metody produkcji. Do innych cennych i do tej pory zinwentaryzowanych produktów lokalnych w Borach Dolnośląskich, z którymi od lat identyfikują się mieszkańcy należą m.in. wyroby piekarnicze. Do godnych wymienienia piekarń należy m.in. zakład rodzinny w Żaganiu Piekarnia Bukowianka, który ma swojej ofercie „Bochen chleba starowiejskiego”. Jest to chleb pieczony metodą całkowicie naturalną, urabiany ręcznie na rozczynie, który leżakuje około 24 godzin. Bochen chleba starowiejskiego produkowano w Polsce przedwojennej w małych miejscowościach oraz na wsi. Piekarnia AGA, oprócz standardowego asortymentu, również posiada tradycyjne wypieki, które przygotowywane są na szczególne okazje lub na zamówienie. Spotkać je można m.in. na Międzynarodowych Targach Chleba w Jaworze. Ze względu na położenie miejscowości w dawnej Puszczy, piekarnia wypieka również pieczywo w kształcie grzybów. Piekarnia państwa Nitarskich również oferuje tradycyjne wypieki, w tym oryginale ciasta obrzędowe. Podobnie można scharakteryzować dwa pozostałe zakłady rodzinne z Pieńska. Tradycyjne wypieki z mąki zebranej z terenów Borów Dolnośląskich z młyna w Gronowie przygotowuje piekarnia „Omega” Państwa Domareccy w Wymiarkach. Istotny wpływ na popularyzację tradycyjnej kuchni, wypieków, pieczywa, przetworów owocowo-warzywnych, przetworów runa leśnego, wędlin, nalewek i win mają koła gospodyń wiejskich, które na każdą imprezę o charakterze lokalnym (festyny, jarmarki, dożynki) przygotowują rzadko spotykane potrawy oraz w perfekcyjny sposób stroją stoły, suto zastawione tradycyjnym i smacznym jadłem. To właśnie gospodynie wiejskie przekazują młodym pokoleniom tradycje i historię.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Podobnie jak pieczywo głównie w Pieńsku, tak w Wymiarkach w tradycyjny sposób powstaje najwyższej jakości wędlina. Masarnia ma długi tradycje, założona została ponad 150 lat temu. Tradycyjne wędliny i kiełbasy z Wymiarek często prezentowane są na imprezach o charakterze wiejsko-rolniczym, spotkały się nawet z uznaniem w ramach krajowego konkursu Nasze Kulinarne Dziedzictwo. Poza zorganizowaną formą produkcji istnieje w Borach Dolnośląskich wiele drobnych gospodarstw rolnych, zajmujących się sprzedażą i przetwórstwem runa leśnego, produkcją domowych win i nalewek. Zbieractwo runa od zawsze stanowiło główne źródła dochodów miejscowej ludności, śmiało więc można mówić, że marynowane grzybki, czy nalewka z żurawiny to tradycyjne produkty lokalne dla tego obszaru, odzwierciedlające jego specyfikę.   gminie Wymiarki lokalny winiarz produkuje wina metodą naturalnej fermentacji od przeszło 30 lat z lokalnie dostępnych owoców leśnych, np. jarzębina, żurawina, borówka, jagoda itp. Wina owocowe, produkowane bez dodatku cukru, podlegające naturalnej fermentacji cieszą się dużym uznaniem wśród znawców win. Jest to jednak produkcja domowa, przez to dość ograniczona, a wina serwowane są głównie podczas lokalnych imprez i jarmarków. Od 2008 rok LGD zorganizowały konkurs pn. „Najlepszy Produkt Lokalny z Borów Dolnośląskich w roku 2015”. Wpłynęło ponad 40 potraw, miodów i nalewek z całego terenu Borów.</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Obszar Borów Dolnośląskich słynie też z wielu ciekawych wyrobów rzemieślniczych. Przede wszystkim produkcja porcelany w Borach Dolnośląskich. Istnieje kilka dużych manufaktur porcelany oraz wiele przydomowych warsztatów. Podobnie jak przed laty najprężniej działającymi ośrodkami ceramicznymi na tym terenie jest Osiecznica i Parowa. Produkowana jest przede wszystkim zdobna ceramika użytkowa, tj. zastawy stołowe, wazony, doniczki, galanteria ceramiczna. Wzory i kolorystyka nawiązują do tradycyjnych biało-niebieskich zdobień, mimo to każdy z producentów stara się stworzyć oryginalny wzór, charakterystyczny i typowy właśnie dla niego. Bardzo dużo ceramiki sprzedaję się w przyzakładowych sklepach, cepeliach oraz jarmarkach na terenie całego kraju, głównymi nabywcami pozostają jednak Niemcy, Stany Zjednoczone oraz Republiki Ameryki Południowej. Najstarsza na tym terenie huta szkła działa w Wymiarkach. Założona została w roku 1657 przez księcia żagańskiego. Dziś Huta Szkła w Wymiarkach jest główny producent słoi dla przemysłu rolno-spożywczego. Pieńskie Huty Szkła „Łużyce” kontynuując swoje bogate tradycje, wytwarzają oświetleniowe wyroby artystyczne, zdobnicze i użytkowe o tradycyjnych kształtach, wzorach i zdobnictwie.</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2E74B5"/>
        </w:rPr>
        <w:t>Rozdział IV. Analiza SWOT</w:t>
      </w:r>
    </w:p>
    <w:p w:rsidR="00294BD0" w:rsidRDefault="00294BD0">
      <w:pPr>
        <w:spacing w:after="0" w:line="240" w:lineRule="auto"/>
        <w:jc w:val="both"/>
        <w:rPr>
          <w:rFonts w:ascii="Times New Roman" w:eastAsia="Times New Roman" w:hAnsi="Times New Roman" w:cs="Times New Roman"/>
          <w:b/>
          <w:color w:val="000000"/>
        </w:rPr>
      </w:pP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Cele badania i przyjęta metodologia </w:t>
      </w:r>
    </w:p>
    <w:p w:rsidR="00294BD0" w:rsidRDefault="00294BD0">
      <w:pPr>
        <w:autoSpaceDE w:val="0"/>
        <w:spacing w:after="0" w:line="240" w:lineRule="auto"/>
        <w:rPr>
          <w:rFonts w:ascii="Times New Roman" w:eastAsia="Times New Roman" w:hAnsi="Times New Roman" w:cs="Times New Roman"/>
          <w:color w:val="000000"/>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Celem opracowania analizy SWOT było zestawienie diagnozy obszaru oraz opinii mieszkańców gmin objętych działaniem Lokalnej Grupy Działania Bory Dolnośląskie dotyczących zasadniczych wątków, w tym najważniejszych do zrealizowania w perspektywie 2014-2020 celów (w kontekście rozwoju regionu) oraz czterech aspektów analizy SWOT: </w:t>
      </w:r>
    </w:p>
    <w:p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silnych stron gminy, </w:t>
      </w:r>
    </w:p>
    <w:p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słabych stron gminy, </w:t>
      </w:r>
    </w:p>
    <w:p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szans (uwarunkowań zewnętrznych wobec gminy, które mogą pozytywnie wpływać na jej rozwój) </w:t>
      </w:r>
    </w:p>
    <w:p w:rsidR="00294BD0" w:rsidRDefault="00294BD0">
      <w:pPr>
        <w:numPr>
          <w:ilvl w:val="0"/>
          <w:numId w:val="3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zagrożeń (uwarunkowań zewnętrznych wobec gminy, które mogą negatywnie wpływać na jej rozwój). </w:t>
      </w:r>
    </w:p>
    <w:p w:rsidR="00294BD0" w:rsidRDefault="00294BD0">
      <w:pPr>
        <w:autoSpaceDE w:val="0"/>
        <w:spacing w:after="0" w:line="240" w:lineRule="auto"/>
        <w:ind w:left="284"/>
        <w:jc w:val="both"/>
        <w:rPr>
          <w:rFonts w:ascii="Times New Roman" w:eastAsia="Times New Roman" w:hAnsi="Times New Roman" w:cs="Times New Roman"/>
        </w:rPr>
      </w:pP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Dane, w oparciu o które przygotowano niniejszą analizę były zbierane równolegle na dwa różne sposoby. Pierwszym z nich były otwarte spotkania przedstawicieli LGD z mieszkańcami gmin objętych działaniem LGD: Gozdnicy, Przewozu, Iłowej, Węglińca, Małomic, Wymiarek, Osiecznicy, Żagania, Pieńska oraz Żar, podczas których mogli się oni podzielić własnymi spostrzeżeniami dotyczącymi przedstawionych powyżej wątków. Równocześnie każdy z mieszkańców wyrażał swoją opinię na swój temat za pośrednictwem składającego się z pytań otwartych kwestionariusza ankiety, udostępnianego w sekretariatach urzędów gmin, biurze LGD oraz stronie www.bory.org.pl. Zebrane w ten sposób dane zostały następnie zagregowane na poziomie każdej z gmin przez zespół roboczy ds. LSR. Drugim źródłem informacji były informacje zawarte w diagnozie obszaru LSR.W niniejszej strategii dla każdego z wątków zaprezentowano w opatrzonej krótkim komentarzem formie tabelarycznej dane zagregowane dla całego obszaru. </w:t>
      </w:r>
    </w:p>
    <w:p w:rsidR="00294BD0" w:rsidRDefault="00294BD0">
      <w:pPr>
        <w:autoSpaceDE w:val="0"/>
        <w:spacing w:after="0" w:line="240" w:lineRule="auto"/>
        <w:ind w:left="284"/>
        <w:jc w:val="both"/>
        <w:rPr>
          <w:rFonts w:ascii="Times New Roman" w:eastAsia="Times New Roman" w:hAnsi="Times New Roman" w:cs="Times New Roman"/>
        </w:rPr>
      </w:pPr>
    </w:p>
    <w:p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Silne strony gmin objętych działaniem LGD Bory Dolnośląskie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Pytani o silne strony swoich gmin mieszkańcy zwracali uwagę zwłaszcza na szeroko rozumiane walory turystyczne gminy (takie jak przyroda, zabytki i dziedzictwo kulturowe czy produkty regionalne, tradycyjne i lokalne): atut ten wskazywano w każdej z gminie. Często jako silną stronę wskazywano również położenie gminy - w pobliżu ważnych szlaków komunikacyjnych. W połowie gmin, w których uzyskano dane z obu źródeł (spotkania z mieszkańcami i ankieta) jako silną stronę gminy wskazywano ponadto funkcjonujące w gminie organizacje trzeciego sektora.</w:t>
      </w:r>
    </w:p>
    <w:p w:rsidR="00294BD0" w:rsidRDefault="00294BD0">
      <w:pPr>
        <w:autoSpaceDE w:val="0"/>
        <w:spacing w:after="0" w:line="240" w:lineRule="auto"/>
        <w:rPr>
          <w:rFonts w:ascii="Times New Roman" w:eastAsia="Times New Roman" w:hAnsi="Times New Roman" w:cs="Times New Roman"/>
          <w:color w:val="000000"/>
        </w:rPr>
      </w:pPr>
    </w:p>
    <w:p w:rsidR="00294BD0" w:rsidRDefault="00294BD0">
      <w:pPr>
        <w:autoSpaceDE w:val="0"/>
        <w:spacing w:after="0" w:line="240" w:lineRule="auto"/>
        <w:rPr>
          <w:rFonts w:ascii="Times New Roman" w:eastAsia="Times New Roman" w:hAnsi="Times New Roman" w:cs="Times New Roman"/>
          <w:color w:val="000000"/>
        </w:rPr>
      </w:pPr>
    </w:p>
    <w:p w:rsidR="00294BD0" w:rsidRDefault="00294BD0">
      <w:pPr>
        <w:autoSpaceDE w:val="0"/>
        <w:spacing w:after="0" w:line="240" w:lineRule="auto"/>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4820"/>
        <w:gridCol w:w="4267"/>
      </w:tblGrid>
      <w:tr w:rsidR="00294BD0">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Mocne strony</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spacing w:after="0" w:line="240" w:lineRule="auto"/>
              <w:jc w:val="center"/>
            </w:pPr>
            <w:r>
              <w:rPr>
                <w:rFonts w:ascii="Times New Roman" w:eastAsia="Times New Roman" w:hAnsi="Times New Roman" w:cs="Times New Roman"/>
                <w:b/>
              </w:rPr>
              <w:t>Odniesienie do diagnozy</w:t>
            </w:r>
          </w:p>
        </w:tc>
      </w:tr>
      <w:tr w:rsidR="00294BD0">
        <w:trPr>
          <w:trHeight w:val="360"/>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 Unikatowe walory przyrodnicze Borów Dolnośląskich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 xml:space="preserve">Rozdział 8 diagnozy </w:t>
            </w:r>
          </w:p>
        </w:tc>
      </w:tr>
      <w:tr w:rsidR="00294BD0">
        <w:trPr>
          <w:trHeight w:val="340"/>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Zabytki i dziedzictwo kulturowe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Rozdziały 7 i 8 diagnozy</w:t>
            </w:r>
          </w:p>
        </w:tc>
      </w:tr>
      <w:tr w:rsidR="00294BD0">
        <w:trPr>
          <w:trHeight w:val="498"/>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Różnorodność produktów regionalnych, tradycyjnych i lokalnych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9 diagnozy</w:t>
            </w:r>
          </w:p>
        </w:tc>
      </w:tr>
      <w:tr w:rsidR="00294BD0">
        <w:trPr>
          <w:trHeight w:val="621"/>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Sprzyjające warunki rozwoju  różnych form turystyki (m.in. dość dobrze rozwinięta sieć pieszych szlaków turystycznych, sieć szlaków rowerowych, szlaki wodne, znaczna powierzchnia obszarów leśnych)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8 diagnozy</w:t>
            </w:r>
          </w:p>
        </w:tc>
      </w:tr>
      <w:tr w:rsidR="00294BD0">
        <w:trPr>
          <w:trHeight w:val="621"/>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Korzystne usytuowanie gmin objętych działaniem LGD względem ważnych szlaków komunikacyjnych (autostrada A4)</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 xml:space="preserve">Rozdział 8 diagnozy </w:t>
            </w:r>
          </w:p>
        </w:tc>
      </w:tr>
      <w:tr w:rsidR="00294BD0">
        <w:trPr>
          <w:trHeight w:val="488"/>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Potencjał organizacji pozarządowych funkcjonujących na terenach gmin objętych działaniem LGD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4 diagnozy</w:t>
            </w:r>
          </w:p>
        </w:tc>
      </w:tr>
      <w:tr w:rsidR="00294BD0">
        <w:trPr>
          <w:trHeight w:val="270"/>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Przedsiębiorczość mieszkańców</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2 diagnozy</w:t>
            </w:r>
          </w:p>
        </w:tc>
      </w:tr>
    </w:tbl>
    <w:p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            (Tabela nr 19 – Analiza SWOT. Mocne strony LGD. Źródło – badania własne LGD)</w:t>
      </w:r>
    </w:p>
    <w:p w:rsidR="00294BD0" w:rsidRDefault="00294BD0">
      <w:pPr>
        <w:spacing w:after="0" w:line="240" w:lineRule="auto"/>
        <w:jc w:val="both"/>
        <w:rPr>
          <w:rFonts w:ascii="Times New Roman" w:eastAsia="Times New Roman" w:hAnsi="Times New Roman" w:cs="Times New Roman"/>
          <w:b/>
        </w:rPr>
      </w:pPr>
    </w:p>
    <w:p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Słabe strony gmin objętych działaniem LGD Bory Dolnośląskie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Słabe strony gminy w opinii ich mieszkańców, którzy wypowiedzieli się podczas spotkań z przedstawicielami LGD bądź za pośrednictwem ankiety wiążą się przede wszystkim z dwoma głównymi obszarami. Pierwszym z nich jest relatywnie wysoki poziom bezrobocia i powiązane z nim negatywne zjawiska na rynku pracy, takie jak brak pracy dla młodych ludzi, czego konsekwencją jest odpływ młodych mieszkańców z gminy w poszukiwaniu pracy i lepszych szans na przyszłość. Drugi obszar związany jest z szeroko rozumianymi mankamentami infrastrukturalnymi gminy i niezadowalającym stanem infrastruktury drogowej, turystycznej, drogowej i sportowo-rekreacyjnej.</w:t>
      </w:r>
    </w:p>
    <w:p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4820"/>
        <w:gridCol w:w="4267"/>
      </w:tblGrid>
      <w:tr w:rsidR="00294BD0">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Słabe strony</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spacing w:after="0" w:line="240" w:lineRule="auto"/>
              <w:jc w:val="center"/>
            </w:pPr>
            <w:r>
              <w:rPr>
                <w:rFonts w:ascii="Times New Roman" w:eastAsia="Times New Roman" w:hAnsi="Times New Roman" w:cs="Times New Roman"/>
                <w:b/>
              </w:rPr>
              <w:t>Odniesienie do diagnozy</w:t>
            </w:r>
          </w:p>
        </w:tc>
      </w:tr>
      <w:tr w:rsidR="00294BD0">
        <w:trPr>
          <w:trHeight w:val="392"/>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Relatywnie wysoki poziom bezrobocia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3 diagnozy</w:t>
            </w:r>
          </w:p>
        </w:tc>
      </w:tr>
      <w:tr w:rsidR="00294BD0">
        <w:trPr>
          <w:trHeight w:val="284"/>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Niski poziom aktywności społecznej mieszkańców</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1.1 diagnozy</w:t>
            </w:r>
          </w:p>
        </w:tc>
      </w:tr>
      <w:tr w:rsidR="00294BD0">
        <w:trPr>
          <w:trHeight w:val="402"/>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Niezadowalający stan infrastruktury drogowej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5 diagnozy</w:t>
            </w:r>
          </w:p>
        </w:tc>
      </w:tr>
      <w:tr w:rsidR="00294BD0">
        <w:trPr>
          <w:trHeight w:val="564"/>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Niewystarczająca infrastruktura sportowo-rekreacyjna, integracyjna i edukacyjna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5 diagnozy</w:t>
            </w:r>
          </w:p>
        </w:tc>
      </w:tr>
      <w:tr w:rsidR="00294BD0">
        <w:trPr>
          <w:trHeight w:val="621"/>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Braki w infrastrukturze turystycznej (m.in. nierównomierne rozmieszczenie kwater agroturystycznych, niedostatki w zakresie infrastruktur dla turystyki konnej i wodnej)</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8 diagnozy</w:t>
            </w:r>
          </w:p>
        </w:tc>
      </w:tr>
    </w:tbl>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 xml:space="preserve">            (Tabela nr 20 – Analiza SWOT. Słabe strony LGD. Źródło – badania własne LGD)</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Szanse rozwoju gmin objętych działaniem LGD Bory Dolnośląskie </w:t>
      </w:r>
    </w:p>
    <w:p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Szanse zgodnie z logiką analizy SWOT w kontekście tego projektu potraktowano jako czynniki zewnętrzne wobec gminy, ulokowane w jej otoczeniu, które mogą wpływać pozytywnie na jej rozwój. Najczęściej wskazywano na  z rozwój różnych form turystyki wykorzystującej potencjał przyrodniczy i kulturowy obszaru oraz infrastruktury turystyczno-rekreacyjnej (w tym agroturystyki). Największe szanse na dla regionu upatrywano również w rozwoju sektora gospodarczego oraz w poprawie stanu infrastruktury drogowej. Wśród szans rozumianych zgodnie z logiką analizy SWOT najczęściej wymieniano z kolei możliwość </w:t>
      </w:r>
      <w:r>
        <w:rPr>
          <w:rFonts w:ascii="Times New Roman" w:hAnsi="Times New Roman" w:cs="Times New Roman"/>
        </w:rPr>
        <w:t>pozyskiwania środków zewnętrznych- w tym z Unii Europejskiej</w:t>
      </w:r>
      <w:r>
        <w:rPr>
          <w:rFonts w:ascii="Times New Roman" w:eastAsia="Times New Roman" w:hAnsi="Times New Roman" w:cs="Times New Roman"/>
          <w:color w:val="000000"/>
        </w:rPr>
        <w:t xml:space="preserve"> (szansa wskazywana w 5 gminach).</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6242"/>
        <w:gridCol w:w="2845"/>
      </w:tblGrid>
      <w:tr w:rsidR="00294BD0">
        <w:trPr>
          <w:trHeight w:val="557"/>
        </w:trPr>
        <w:tc>
          <w:tcPr>
            <w:tcW w:w="6242"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Szanse</w:t>
            </w:r>
          </w:p>
        </w:tc>
        <w:tc>
          <w:tcPr>
            <w:tcW w:w="284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spacing w:after="0" w:line="240" w:lineRule="auto"/>
              <w:jc w:val="center"/>
            </w:pPr>
            <w:r>
              <w:rPr>
                <w:rFonts w:ascii="Times New Roman" w:eastAsia="Times New Roman" w:hAnsi="Times New Roman" w:cs="Times New Roman"/>
                <w:b/>
              </w:rPr>
              <w:t>Odniesienie do diagnozy</w:t>
            </w:r>
          </w:p>
        </w:tc>
      </w:tr>
      <w:tr w:rsidR="00294BD0">
        <w:trPr>
          <w:trHeight w:val="564"/>
        </w:trPr>
        <w:tc>
          <w:tcPr>
            <w:tcW w:w="624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Rozwój różnych form turystyki opartej o wykorzystanie istniejącego potencjału przyrodniczego i kulturowego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8 diagnozy</w:t>
            </w:r>
          </w:p>
        </w:tc>
      </w:tr>
      <w:tr w:rsidR="00294BD0">
        <w:trPr>
          <w:trHeight w:val="418"/>
        </w:trPr>
        <w:tc>
          <w:tcPr>
            <w:tcW w:w="624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Możliwość pozyskiwania środków zewnętrznych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napToGrid w:val="0"/>
              <w:spacing w:after="0" w:line="240" w:lineRule="auto"/>
              <w:rPr>
                <w:rFonts w:ascii="Times New Roman" w:eastAsia="Times New Roman" w:hAnsi="Times New Roman" w:cs="Times New Roman"/>
              </w:rPr>
            </w:pPr>
          </w:p>
        </w:tc>
      </w:tr>
      <w:tr w:rsidR="00294BD0">
        <w:trPr>
          <w:trHeight w:val="621"/>
        </w:trPr>
        <w:tc>
          <w:tcPr>
            <w:tcW w:w="624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Rozbudowa i modernizacja</w:t>
            </w:r>
          </w:p>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infrastruktury drogowej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5 diagnozy</w:t>
            </w:r>
          </w:p>
        </w:tc>
      </w:tr>
      <w:tr w:rsidR="00294BD0">
        <w:trPr>
          <w:trHeight w:val="362"/>
        </w:trPr>
        <w:tc>
          <w:tcPr>
            <w:tcW w:w="6242"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Rozwój sektora gospodarczego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2 diagnozy</w:t>
            </w:r>
          </w:p>
        </w:tc>
      </w:tr>
    </w:tbl>
    <w:p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 xml:space="preserve">            (Tabela nr 21 – Analiza SWOT. Szanse LGD. Źródło – badania własne LGD)</w:t>
      </w:r>
    </w:p>
    <w:p w:rsidR="00294BD0" w:rsidRDefault="00294BD0">
      <w:pPr>
        <w:spacing w:after="0" w:line="240" w:lineRule="auto"/>
        <w:jc w:val="both"/>
        <w:rPr>
          <w:rFonts w:ascii="Times New Roman" w:eastAsia="Times New Roman" w:hAnsi="Times New Roman" w:cs="Times New Roman"/>
          <w:color w:val="000000"/>
        </w:rPr>
      </w:pPr>
    </w:p>
    <w:p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Zagrożenia dla rozwoju gmin objętych działaniem LGD Bory Dolnośląskie </w:t>
      </w:r>
    </w:p>
    <w:p w:rsidR="00294BD0" w:rsidRDefault="00294BD0">
      <w:pPr>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rPr>
        <w:t>Zagrożenia w analizie SWOT są czynnikami o charakterze zewnętrznym, mogącym wywierać wpływ na rozwój gminy - w przeciwieństwie do szans jest to wpływ o charakterze negatywnym. Wypełniający ankietę i biorący udział w spotkaniach mieszkańcy gmin mieli niekiedy problemy z rozróżnieniem pomiędzy słabymi stronami a zagrożeniami - pytani o zagrożenia wymieniali te pierwsze (np. niesatysfakcjonujący stan infrastruktury drogowej). Zazwyczaj jednak przypisywali miano zagrożeń czynnikom zewnętrznym, takim jak negatywne trendy demograficzne związane ze znacznym wzrostem liczby osób w wieku poprodukcyjnym czy problem ubożenia społeczeństwa, związany m.in. z niskimi zarobkami. Ponadto zwracano uwagę na kwestię migracji zarobkowej, zwłaszcza wśród młodych ludzi. Dużą wagę przywiązano także do zagrożeń związanych z nadmierną eksploatacją środowiska i jego zanieczyszczenia.</w:t>
      </w:r>
    </w:p>
    <w:p w:rsidR="00294BD0" w:rsidRDefault="00294BD0">
      <w:pPr>
        <w:spacing w:after="0" w:line="240" w:lineRule="auto"/>
        <w:ind w:left="284"/>
        <w:jc w:val="both"/>
        <w:rPr>
          <w:rFonts w:ascii="Times New Roman" w:eastAsia="Times New Roman" w:hAnsi="Times New Roman" w:cs="Times New Roman"/>
          <w:b/>
          <w:color w:val="000000"/>
        </w:rPr>
      </w:pPr>
    </w:p>
    <w:tbl>
      <w:tblPr>
        <w:tblW w:w="0" w:type="auto"/>
        <w:tblInd w:w="108" w:type="dxa"/>
        <w:tblLayout w:type="fixed"/>
        <w:tblLook w:val="0000" w:firstRow="0" w:lastRow="0" w:firstColumn="0" w:lastColumn="0" w:noHBand="0" w:noVBand="0"/>
      </w:tblPr>
      <w:tblGrid>
        <w:gridCol w:w="4820"/>
        <w:gridCol w:w="4267"/>
      </w:tblGrid>
      <w:tr w:rsidR="00294BD0">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Zagrożenia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94BD0" w:rsidRDefault="00294BD0">
            <w:pPr>
              <w:spacing w:after="0" w:line="240" w:lineRule="auto"/>
              <w:jc w:val="center"/>
            </w:pPr>
            <w:r>
              <w:rPr>
                <w:rFonts w:ascii="Times New Roman" w:eastAsia="Times New Roman" w:hAnsi="Times New Roman" w:cs="Times New Roman"/>
                <w:b/>
              </w:rPr>
              <w:t>Odniesienie do diagnozy</w:t>
            </w:r>
          </w:p>
        </w:tc>
      </w:tr>
      <w:tr w:rsidR="00294BD0">
        <w:trPr>
          <w:trHeight w:val="573"/>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Procesy starzenia się - wzrost liczby osób w wieku poprodukcyjnym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1.2 diagnozy</w:t>
            </w:r>
          </w:p>
        </w:tc>
      </w:tr>
      <w:tr w:rsidR="00294BD0">
        <w:trPr>
          <w:trHeight w:val="290"/>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Ubożenie społeczeństwa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5 diagnozy</w:t>
            </w:r>
          </w:p>
        </w:tc>
      </w:tr>
      <w:tr w:rsidR="00294BD0">
        <w:trPr>
          <w:trHeight w:val="280"/>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Migracje zarobkowe, zwłaszcza ludzi młodych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 xml:space="preserve">Rozdział 3 diagnozy </w:t>
            </w:r>
          </w:p>
        </w:tc>
      </w:tr>
      <w:tr w:rsidR="00294BD0">
        <w:trPr>
          <w:trHeight w:val="426"/>
        </w:trPr>
        <w:tc>
          <w:tcPr>
            <w:tcW w:w="4820"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Nadmierna eksploatacja zasobów naturalnych oraz zanieczyszczenie środowiska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pPr>
            <w:r>
              <w:rPr>
                <w:rFonts w:ascii="Times New Roman" w:eastAsia="Times New Roman" w:hAnsi="Times New Roman" w:cs="Times New Roman"/>
              </w:rPr>
              <w:t>Rozdział 8 diagnozy</w:t>
            </w:r>
          </w:p>
        </w:tc>
      </w:tr>
    </w:tbl>
    <w:p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            (Tabela nr 22 – Analiza SWOT. Zagrożenia LGD. Źródło – badania własne LGD)</w:t>
      </w:r>
    </w:p>
    <w:p w:rsidR="00294BD0" w:rsidRDefault="00294BD0">
      <w:pPr>
        <w:spacing w:after="0" w:line="240" w:lineRule="auto"/>
        <w:jc w:val="both"/>
        <w:rPr>
          <w:rFonts w:ascii="Times New Roman" w:eastAsia="Times New Roman" w:hAnsi="Times New Roman" w:cs="Times New Roman"/>
          <w:b/>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Wnioski - podsumowanie wyników </w:t>
      </w:r>
    </w:p>
    <w:p w:rsidR="00294BD0" w:rsidRDefault="00294BD0">
      <w:pPr>
        <w:numPr>
          <w:ilvl w:val="0"/>
          <w:numId w:val="1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Priorytetowymi celami stawianymi sobie w kontekście rozwoju regionu w perspektywie finansowej 2014-2020 będą zwłaszcza pobudzanie lokalnej przedsiębiorczości oraz tworzenie nowych zakładów pracy i miejsc pracy (wskazywane w 7 gminach), a także rozbudowa i modernizacja infrastruktur drogowej i towarzyszącej oraz infrastruktury sportowo - rekreacyjnej (5 gmin). Wśród celów wskazywanych w większości gmin, spośród których uzyskano dane znalazł się również rozwój turystyki (w tym agroturystyki) i infrastruktury turystycznej (wskazania w 5 gminach); </w:t>
      </w:r>
    </w:p>
    <w:p w:rsidR="00294BD0" w:rsidRDefault="00294BD0">
      <w:pPr>
        <w:numPr>
          <w:ilvl w:val="0"/>
          <w:numId w:val="1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Silnymi stronami gmin objętych działalnością LGD Bory Dolnośląskie, które wskazywano w największej liczbie miejscowości były walory turystyczne (przyroda, zabytki i dziedzictwo kulturowe czy produkty regionalne, tradycyjne i lokalne), położenie w pobliżu ważnych szlaków komunikacyjnych oraz funkcjonujące organizacje trzeciego sektora; </w:t>
      </w:r>
    </w:p>
    <w:p w:rsidR="00294BD0" w:rsidRDefault="00294BD0">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Najczęściej wskazywane słabe strony gminy to bezrobocie wymieniano w 7 gminach. Często w tym kontekście zwracano również uwagę na niesatysfakcjonujący stan infrastruktur - niezadowalającym stanem infrastruktury drogowej, turystycznej, drogowej i sportowo-rekreacyjnej (wskazania w 6 gminach); </w:t>
      </w:r>
    </w:p>
    <w:p w:rsidR="00294BD0" w:rsidRDefault="00294BD0">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rPr>
        <w:t>Szansami - zewnętrznymi czynnikami, które mogą pozytywnie wpłynąć na rozwój gminy, wskazywanymi przez mieszkańców największej liczby gmin</w:t>
      </w:r>
      <w:r>
        <w:rPr>
          <w:rFonts w:ascii="Times New Roman" w:eastAsia="Times New Roman" w:hAnsi="Times New Roman" w:cs="Times New Roman"/>
          <w:color w:val="000000"/>
        </w:rPr>
        <w:t xml:space="preserve"> była możliwość pozyskiwania środków unijnych, rozwój sektora gospodarczego, rozwój różnych form turystyki wykorzystującej potencjał przyrodniczy i kulturowy obszaru oraz rozbudowa i modernizacja infrastruktury drogowej; </w:t>
      </w:r>
    </w:p>
    <w:p w:rsidR="00294BD0" w:rsidRDefault="00294BD0">
      <w:pPr>
        <w:numPr>
          <w:ilvl w:val="0"/>
          <w:numId w:val="14"/>
        </w:numPr>
        <w:autoSpaceDE w:val="0"/>
        <w:spacing w:after="0" w:line="240" w:lineRule="auto"/>
        <w:jc w:val="both"/>
        <w:rPr>
          <w:rFonts w:ascii="Cambria" w:eastAsia="Times New Roman" w:hAnsi="Cambria" w:cs="Cambria"/>
          <w:color w:val="000000"/>
        </w:rPr>
      </w:pPr>
      <w:r>
        <w:rPr>
          <w:rFonts w:ascii="Times New Roman" w:eastAsia="Times New Roman" w:hAnsi="Times New Roman" w:cs="Times New Roman"/>
          <w:color w:val="000000"/>
        </w:rPr>
        <w:t>Biorąc pod uwagę zagrożenia - zewnętrzne czynniki, który może mieć negatywny wpływ na rozwój gminy najczęściej wymieniano w tym kontekście negatywne trendy demograficzne (starzenie się społeczeństwa, niż demograficzny), migrację zarobkową, ubożenie społeczeństwa i zanieczyszczenie środowiska.</w:t>
      </w:r>
    </w:p>
    <w:p w:rsidR="00294BD0" w:rsidRDefault="00294BD0">
      <w:pPr>
        <w:autoSpaceDE w:val="0"/>
        <w:spacing w:after="0" w:line="240" w:lineRule="auto"/>
        <w:jc w:val="both"/>
        <w:rPr>
          <w:rFonts w:ascii="Cambria" w:eastAsia="Times New Roman" w:hAnsi="Cambria" w:cs="Cambria"/>
          <w:color w:val="000000"/>
        </w:rPr>
      </w:pPr>
    </w:p>
    <w:p w:rsidR="00294BD0" w:rsidRDefault="00294BD0">
      <w:pPr>
        <w:autoSpaceDE w:val="0"/>
        <w:spacing w:after="0" w:line="240" w:lineRule="auto"/>
        <w:ind w:left="284"/>
        <w:rPr>
          <w:rFonts w:ascii="Times New Roman" w:eastAsia="Times New Roman" w:hAnsi="Times New Roman" w:cs="Times New Roman"/>
          <w:b/>
          <w:bCs/>
          <w:color w:val="000000"/>
          <w:u w:val="single"/>
        </w:rPr>
      </w:pPr>
    </w:p>
    <w:p w:rsidR="00294BD0" w:rsidRDefault="00294BD0">
      <w:pPr>
        <w:autoSpaceDE w:val="0"/>
        <w:spacing w:after="0" w:line="240" w:lineRule="auto"/>
        <w:ind w:left="284"/>
        <w:rPr>
          <w:rFonts w:ascii="Times New Roman" w:eastAsia="Times New Roman" w:hAnsi="Times New Roman" w:cs="Times New Roman"/>
          <w:b/>
          <w:bCs/>
          <w:color w:val="000000"/>
          <w:u w:val="single"/>
        </w:rPr>
      </w:pPr>
    </w:p>
    <w:p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 xml:space="preserve">Rekomendacje </w:t>
      </w:r>
    </w:p>
    <w:p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Biorąc pod uwagę zarówno rezultaty wyników zagregowanej analizy zebranych podczas spotkań z mieszkańcami i za pośrednictwem ankiet danych, informacje zawarte w diagnozie obszaru LGD, dotychczasowy zakres działalności LGD Bory Dolnośląskie oraz zdefiniowany w PROW 2014-2020 zakres operacji, które będą wspierane w ramach osi LEADER rekomenduje się skoncentrowanie Lokalnej Strategii Działania wokół trzech zasadniczych wątków: 1) wykorzystanie potencjału kulturowego i przyrodniczego obszaru objętego działaniem LGD Bory Dolnośląskie 2) działania mające na celu pobudzanie przedsiębiorczości i tworzenie miejsc pracy w gminach zrzeszonych w LGD 3) wzmocnienie kapitału społecznego na obszarze LGD. Działania te nie tylko wpisują się bowiem w zakres operacji, zdefiniowany w PROW 2014-2020, stanowiąc jednocześnie kontynuację dotychczasowej działalności LGD Bory Dolnośląskie, ale współgrają również z artykułowanymi podczas spotkań w gminach i za pośrednictwem ankiet opiniami tych mieszkańców gmin, którzy chcieli się nimi podzielić. W 7 z 8 gmin, w których udało się pozyskać dane z obu źródeł (ankieta + spotkania z mieszkańcami) jako priorytetowy cel w kontekście perspektywy finansowej 2014-2020 uznano bowiem właśnie szeroko rozumiane pobudzanie przedsiębiorczości i tworzenie nowych miejsc pracy, w 5 zaś - rozwój turystyki i agroturystyki (w tym infrastruktury turystycznej). Co więcej, walory turystyczne (przyroda, zabytki, historia, tradycja, produkty lokalne) w każdej z 8 gmin uznawano za jej silną stronę, bezrobocie/ brak miejsc pracy jako słabą stronę wymieniano z kolei w 7 gminach objętych działaniem LGD.</w:t>
      </w:r>
    </w:p>
    <w:p w:rsidR="00294BD0" w:rsidRDefault="00294BD0">
      <w:pPr>
        <w:spacing w:after="0" w:line="240" w:lineRule="auto"/>
        <w:rPr>
          <w:rFonts w:ascii="Times New Roman" w:eastAsia="Times New Roman" w:hAnsi="Times New Roman" w:cs="Times New Roman"/>
          <w:color w:val="000000"/>
          <w:sz w:val="24"/>
          <w:szCs w:val="24"/>
        </w:rPr>
      </w:pPr>
    </w:p>
    <w:p w:rsidR="00294BD0" w:rsidRDefault="00294BD0">
      <w:pPr>
        <w:autoSpaceDE w:val="0"/>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2E74B5"/>
        </w:rPr>
        <w:t>ROZDZIAŁ V CELE I WSKAŹNIKI</w:t>
      </w:r>
    </w:p>
    <w:p w:rsidR="00294BD0" w:rsidRDefault="00294BD0">
      <w:pPr>
        <w:autoSpaceDE w:val="0"/>
        <w:spacing w:after="0" w:line="240" w:lineRule="auto"/>
        <w:rPr>
          <w:rFonts w:ascii="Times New Roman" w:eastAsia="Times New Roman" w:hAnsi="Times New Roman" w:cs="Times New Roman"/>
          <w:b/>
          <w:color w:val="FF0000"/>
        </w:rPr>
      </w:pPr>
    </w:p>
    <w:p w:rsidR="00294BD0" w:rsidRDefault="00294BD0">
      <w:pPr>
        <w:numPr>
          <w:ilvl w:val="0"/>
          <w:numId w:val="73"/>
        </w:numPr>
        <w:shd w:val="clear" w:color="auto" w:fill="FFFFFF"/>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Specyfikacja i opis celów ogólnych, przypisanych im celów szczegółowych i przedsięwzięć</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Pierwszym krokiem niezbędnym przy konstruowaniu celów LSR było zebranie informacji na temat potrzeb mieszkańców obszaru LGD, które zostały uzyskane podczas spotkań otwartych z mieszkańcami oraz z otrzymanych ankiet. Następnie przystąpiono do ich </w:t>
      </w:r>
      <w:r>
        <w:rPr>
          <w:rFonts w:ascii="Times New Roman" w:eastAsia="Times New Roman" w:hAnsi="Times New Roman" w:cs="Times New Roman"/>
          <w:bCs/>
        </w:rPr>
        <w:t>uporządkowania i pogrupowania według kategorii oraz poziomu szczegółowości. Ze względu na różnorodność i mnogość zgłoszonych przez mieszkańców problemów, odrzucono te marginalne i realizujące interesy wyłącznie wąskich grup społecznych.</w:t>
      </w:r>
      <w:r>
        <w:rPr>
          <w:rFonts w:ascii="Times New Roman" w:eastAsia="Times New Roman" w:hAnsi="Times New Roman" w:cs="Times New Roman"/>
          <w:b/>
          <w:bCs/>
          <w:sz w:val="23"/>
          <w:szCs w:val="23"/>
        </w:rPr>
        <w:t xml:space="preserve"> </w:t>
      </w:r>
      <w:r>
        <w:rPr>
          <w:rFonts w:ascii="Times New Roman" w:eastAsia="Times New Roman" w:hAnsi="Times New Roman" w:cs="Times New Roman"/>
          <w:bCs/>
        </w:rPr>
        <w:t>Mając również na uwadze</w:t>
      </w:r>
      <w:r>
        <w:rPr>
          <w:rFonts w:ascii="Times New Roman" w:eastAsia="Times New Roman" w:hAnsi="Times New Roman" w:cs="Times New Roman"/>
          <w:b/>
          <w:bCs/>
          <w:sz w:val="23"/>
          <w:szCs w:val="23"/>
        </w:rPr>
        <w:t xml:space="preserve"> </w:t>
      </w:r>
      <w:r>
        <w:rPr>
          <w:rFonts w:ascii="Times New Roman" w:eastAsia="Times New Roman" w:hAnsi="Times New Roman" w:cs="Times New Roman"/>
          <w:bCs/>
        </w:rPr>
        <w:t xml:space="preserve">zakres działania LGD w ramach PROW wyeliminowano te problemy, które nie mogą być realizowane we wspomnianym programie. Następnym krokiem było określenie propozycji rozwiązań problemów oraz przypisanie ich do grupy odbiorców, do których poszczególne działania będą skierowane. W ten sposób sformułowano cele szczegółowe. Dalej pracowano nad ustaleniem przyczyn tych problemów, a przedstawione propozycje ich usunięcia pozwoliły na wyodrębnienie przedsięwzięć.  Lista problemów została zestawiona z </w:t>
      </w:r>
      <w:r>
        <w:rPr>
          <w:rFonts w:ascii="Times New Roman" w:eastAsia="Times New Roman" w:hAnsi="Times New Roman" w:cs="Times New Roman"/>
        </w:rPr>
        <w:t>zebranymi danymi statystycznymi oraz raportem ewaluacyjnym, a następnie włączona do diagnozy obszaru i analizy SWOT.</w:t>
      </w:r>
      <w:r>
        <w:rPr>
          <w:rFonts w:ascii="Times New Roman" w:eastAsia="Times New Roman" w:hAnsi="Times New Roman" w:cs="Times New Roman"/>
          <w:sz w:val="23"/>
          <w:szCs w:val="23"/>
        </w:rPr>
        <w:t xml:space="preserve"> </w:t>
      </w:r>
      <w:r>
        <w:rPr>
          <w:rFonts w:ascii="Times New Roman" w:eastAsia="Times New Roman" w:hAnsi="Times New Roman" w:cs="Times New Roman"/>
        </w:rPr>
        <w:t>Powstały w ten sposób obraz problemów rozwojowych obszaru LSR, uwzględniający konsultacje społeczne oraz zakres PROW pozwolił na skonstruowanie celów ogólnych tj.</w:t>
      </w:r>
      <w:r>
        <w:rPr>
          <w:rFonts w:ascii="Times New Roman" w:eastAsia="Times New Roman" w:hAnsi="Times New Roman" w:cs="Times New Roman"/>
          <w:sz w:val="23"/>
          <w:szCs w:val="23"/>
        </w:rPr>
        <w:t xml:space="preserve"> </w:t>
      </w:r>
      <w:r>
        <w:rPr>
          <w:rFonts w:ascii="Times New Roman" w:eastAsia="Times New Roman" w:hAnsi="Times New Roman" w:cs="Times New Roman"/>
          <w:i/>
        </w:rPr>
        <w:t xml:space="preserve">pobudzanie lokalnej przedsiębiorczości, lepsze wykorzystanie potencjału przyrodniczego i kulturowego w rozwoju regionu oraz wzmocnienie kapitału społecznego. </w:t>
      </w:r>
      <w:r>
        <w:rPr>
          <w:rFonts w:ascii="Times New Roman" w:eastAsia="Times New Roman" w:hAnsi="Times New Roman" w:cs="Times New Roman"/>
        </w:rPr>
        <w:t>Do tak określonych celów ogólnych dopasowano zaś zidentyfikowane wcześniej cele szczegółowe i przedsięwzięcia</w:t>
      </w:r>
      <w:r>
        <w:rPr>
          <w:rFonts w:ascii="Times New Roman" w:eastAsia="Times New Roman" w:hAnsi="Times New Roman" w:cs="Times New Roman"/>
          <w:color w:val="FF0000"/>
        </w:rPr>
        <w:t xml:space="preserve">. </w:t>
      </w:r>
      <w:r>
        <w:rPr>
          <w:rFonts w:ascii="Times New Roman" w:eastAsia="Times New Roman" w:hAnsi="Times New Roman" w:cs="Times New Roman"/>
        </w:rPr>
        <w:t>Dla Stowarzyszenia LGD Bory Dolnośląskie priorytetowymi działaniami są te związane z celem ogólnym 3, czyli wzmocnienie kapitału społecznego, przyczyniające się do osiągnięcia wskaźników oddziaływania: wzrost odsetka mieszkańców deklarujących chęć zaangażowania się na rzecz społeczności lokalnej oraz wzrost liczby organizacji pozarządowych w przeliczeniu na 10 tysięcy mieszkańców. Wynika to z faktu, że Stowarzyszenie jako organizacja trójsektorowa chce włączyć w swoje działania mieszkańców, zwłaszcza tych działających w grupach nieformalnych lub organizacjach pozarządowych, które bardzo często są pozbawione wsparcia merytorycznego i finansowego do realizacji swoich planów. Dlatego najistotniejszymi operacjami będą te polegające na działaniach wzmacniających aktywność lokalnej społeczności oraz na wzmocnieniu potencjału organizacji pozarządowych, które zrealizują takie wskaźniki produktu jak: liczba wybudowanych obiektów ogólnodostępnej i niekomercyjnej infrastruktury turystycznej, rekreacyjnej lub kulturalnej oraz liczba wydarzeń zorganizowanych przez organizacje pozarządowe.</w:t>
      </w:r>
      <w:r>
        <w:rPr>
          <w:rFonts w:ascii="Times New Roman" w:eastAsia="Times New Roman" w:hAnsi="Times New Roman" w:cs="Times New Roman"/>
          <w:b/>
          <w:sz w:val="20"/>
          <w:szCs w:val="20"/>
        </w:rPr>
        <w:t xml:space="preserve"> </w:t>
      </w:r>
      <w:r>
        <w:rPr>
          <w:rFonts w:ascii="Times New Roman" w:eastAsia="Times New Roman" w:hAnsi="Times New Roman" w:cs="Times New Roman"/>
        </w:rPr>
        <w:t>Poniżej została przedstawiona matryca pokazująca powiązania pomiędzy zdefiniowanymi problemami a określonymi celami.</w:t>
      </w: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Jednocześnie wskazano  na  działania adresowane szczególnie do przedstawicieli grup defaworyzowanych. Będą to:</w:t>
      </w:r>
    </w:p>
    <w:p w:rsidR="00294BD0" w:rsidRDefault="00294BD0">
      <w:pPr>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celu ogólnego 1 przedsięwzięcia związane z powstawaniem nowych przedsiębiorstw oraz rozwojem już istniejących. Tworzone w ramach tych działań nowe miejsca pracy powinny być adresowane do przedstawicieli grup defaworyzowanych. Element ten poddano także ocenie w ramach Kryteriów Oceny Operacji,</w:t>
      </w:r>
    </w:p>
    <w:p w:rsidR="00294BD0" w:rsidRDefault="00294BD0">
      <w:pPr>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celu ogólnego 2 przedsięwzięcia związane z budową i </w:t>
      </w:r>
      <w:r>
        <w:rPr>
          <w:rFonts w:ascii="Times New Roman" w:eastAsia="Times New Roman" w:hAnsi="Times New Roman" w:cs="Times New Roman"/>
          <w:color w:val="000000"/>
        </w:rPr>
        <w:t>przebudową</w:t>
      </w:r>
      <w:r>
        <w:rPr>
          <w:rFonts w:ascii="Times New Roman" w:eastAsia="Times New Roman" w:hAnsi="Times New Roman" w:cs="Times New Roman"/>
        </w:rPr>
        <w:t xml:space="preserve"> infrastruktury drogowej łączącej obiekty użyteczności publicznej z siecią dróg publicznych albo skracających dystans lub czas dojazdu do nich. Tym działaniem poprawimy poziom komunikacji przedstawicieli z grup defaworyzowanych z instytucjami użyteczności publicznej.</w:t>
      </w:r>
    </w:p>
    <w:p w:rsidR="00294BD0" w:rsidRDefault="00294BD0">
      <w:pPr>
        <w:numPr>
          <w:ilvl w:val="0"/>
          <w:numId w:val="19"/>
        </w:numPr>
        <w:spacing w:after="0" w:line="240" w:lineRule="auto"/>
        <w:rPr>
          <w:rFonts w:ascii="Times New Roman" w:eastAsia="Times New Roman" w:hAnsi="Times New Roman" w:cs="Times New Roman"/>
          <w:b/>
        </w:rPr>
        <w:sectPr w:rsidR="00294BD0">
          <w:footerReference w:type="default" r:id="rId20"/>
          <w:pgSz w:w="11906" w:h="16838"/>
          <w:pgMar w:top="720" w:right="720" w:bottom="764" w:left="720" w:header="708" w:footer="708" w:gutter="0"/>
          <w:cols w:space="708"/>
          <w:docGrid w:linePitch="600" w:charSpace="36864"/>
        </w:sectPr>
      </w:pPr>
      <w:r>
        <w:rPr>
          <w:rFonts w:ascii="Times New Roman" w:eastAsia="Times New Roman" w:hAnsi="Times New Roman" w:cs="Times New Roman"/>
        </w:rPr>
        <w:t>W przypadku celu ogólnego 3 będą to przedsięwzięcia wzmacniające aktywność lokalnej społeczności w szczególności poprzez budowę obiektów ogólnodostępnej i niekomercyjnej infrastruktury turystycznej, rekreacyjnej lub kulturalnej. Dzięki tym działaniom zwiększymy poziom integracji osób zagrożonych wykluczeniem społecznym z mieszkańcami regionu, pozwolimy im aktywnie włączyć się w życie społeczności lokalnej i tym samym sprawimy by poczuli się potrzebni.</w:t>
      </w:r>
    </w:p>
    <w:tbl>
      <w:tblPr>
        <w:tblW w:w="0" w:type="auto"/>
        <w:tblInd w:w="-15" w:type="dxa"/>
        <w:tblLayout w:type="fixed"/>
        <w:tblLook w:val="0000" w:firstRow="0" w:lastRow="0" w:firstColumn="0" w:lastColumn="0" w:noHBand="0" w:noVBand="0"/>
      </w:tblPr>
      <w:tblGrid>
        <w:gridCol w:w="3716"/>
        <w:gridCol w:w="2629"/>
        <w:gridCol w:w="2127"/>
        <w:gridCol w:w="2835"/>
        <w:gridCol w:w="3282"/>
      </w:tblGrid>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rsidR="00294BD0" w:rsidRDefault="00294BD0">
            <w:pPr>
              <w:spacing w:after="0" w:line="240" w:lineRule="auto"/>
              <w:jc w:val="center"/>
            </w:pPr>
            <w:r>
              <w:rPr>
                <w:rFonts w:ascii="Times New Roman" w:eastAsia="Times New Roman" w:hAnsi="Times New Roman" w:cs="Times New Roman"/>
              </w:rPr>
              <w:t>Relatywnie wysoki poziom bezrobocia na terenach objętych działalnością LGD</w:t>
            </w:r>
          </w:p>
        </w:tc>
      </w:tr>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rsidR="00294BD0" w:rsidRDefault="00294BD0">
            <w:pPr>
              <w:spacing w:after="0" w:line="240" w:lineRule="auto"/>
              <w:jc w:val="center"/>
            </w:pPr>
            <w:r>
              <w:rPr>
                <w:rFonts w:ascii="Times New Roman" w:eastAsia="Times New Roman" w:hAnsi="Times New Roman" w:cs="Times New Roman"/>
              </w:rPr>
              <w:t>Pobudzanie lokalnej przedsiębiorczości</w:t>
            </w:r>
          </w:p>
        </w:tc>
      </w:tr>
      <w:tr w:rsidR="00294BD0">
        <w:tc>
          <w:tcPr>
            <w:tcW w:w="6345" w:type="dxa"/>
            <w:gridSpan w:val="2"/>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Tworzenie warunków do zakładania przedsiębiorstw na obszarze LGD</w:t>
            </w:r>
          </w:p>
        </w:tc>
        <w:tc>
          <w:tcPr>
            <w:tcW w:w="8244"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rsidR="00294BD0" w:rsidRDefault="00294BD0">
            <w:pPr>
              <w:spacing w:after="0" w:line="240" w:lineRule="auto"/>
              <w:jc w:val="center"/>
            </w:pPr>
            <w:r>
              <w:rPr>
                <w:rFonts w:ascii="Times New Roman" w:eastAsia="Times New Roman" w:hAnsi="Times New Roman" w:cs="Times New Roman"/>
              </w:rPr>
              <w:t>Rozwój istniejących przedsiębiorstw i inicjowanie współpracy pomiędzy podmiotami gospodarczymi funkcjonującymi na obszarze LGD</w:t>
            </w:r>
          </w:p>
        </w:tc>
      </w:tr>
      <w:tr w:rsidR="00294BD0">
        <w:trPr>
          <w:trHeight w:val="1874"/>
        </w:trPr>
        <w:tc>
          <w:tcPr>
            <w:tcW w:w="3716"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działania związane z podejmowaniem  działalności gospodarczej wśród osób niebędących przedsiębiorcami</w:t>
            </w:r>
          </w:p>
        </w:tc>
        <w:tc>
          <w:tcPr>
            <w:tcW w:w="2629"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Powstawanie nowych przedsiębiorstw</w:t>
            </w:r>
          </w:p>
        </w:tc>
        <w:tc>
          <w:tcPr>
            <w:tcW w:w="2127"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Współpraca podmiotów gospodarczych</w:t>
            </w:r>
          </w:p>
        </w:tc>
        <w:tc>
          <w:tcPr>
            <w:tcW w:w="2835"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r>
              <w:rPr>
                <w:rFonts w:ascii="Times New Roman" w:eastAsia="Times New Roman" w:hAnsi="Times New Roman" w:cs="Times New Roman"/>
              </w:rPr>
              <w:t xml:space="preserve"> </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działania związane z rozwojem działalności gospodarczej</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pPr>
            <w:r>
              <w:rPr>
                <w:rFonts w:ascii="Times New Roman" w:eastAsia="Times New Roman" w:hAnsi="Times New Roman" w:cs="Times New Roman"/>
              </w:rPr>
              <w:t>Rozwój istniejących przedsiębiorstw</w:t>
            </w:r>
          </w:p>
        </w:tc>
      </w:tr>
      <w:tr w:rsidR="00294BD0">
        <w:tc>
          <w:tcPr>
            <w:tcW w:w="3716"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strike/>
              </w:rPr>
            </w:pPr>
            <w:r>
              <w:rPr>
                <w:rFonts w:ascii="Times New Roman" w:eastAsia="Times New Roman" w:hAnsi="Times New Roman" w:cs="Times New Roman"/>
                <w:b/>
              </w:rPr>
              <w:t xml:space="preserve"> </w:t>
            </w:r>
            <w:r>
              <w:rPr>
                <w:rFonts w:ascii="Times New Roman" w:eastAsia="Times New Roman" w:hAnsi="Times New Roman" w:cs="Times New Roman"/>
              </w:rPr>
              <w:t>Liczba godzin udzielonego indywidualnego doradztwa z zakresu podejmowania działalności gospodarczej</w:t>
            </w:r>
          </w:p>
          <w:p w:rsidR="00294BD0" w:rsidRDefault="00294BD0">
            <w:pPr>
              <w:spacing w:after="0" w:line="240" w:lineRule="auto"/>
              <w:jc w:val="center"/>
              <w:rPr>
                <w:rFonts w:ascii="Times New Roman" w:eastAsia="Times New Roman" w:hAnsi="Times New Roman" w:cs="Times New Roman"/>
                <w:b/>
                <w:strike/>
              </w:rPr>
            </w:pPr>
          </w:p>
        </w:tc>
        <w:tc>
          <w:tcPr>
            <w:tcW w:w="2629"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strike/>
              </w:rPr>
            </w:pPr>
            <w:r>
              <w:rPr>
                <w:rFonts w:ascii="Times New Roman" w:eastAsia="Times New Roman" w:hAnsi="Times New Roman" w:cs="Times New Roman"/>
              </w:rPr>
              <w:t>Liczba zrealizowanych operacji polegających na utworzeniu nowego przedsiębiorstwa</w:t>
            </w:r>
          </w:p>
          <w:p w:rsidR="00294BD0" w:rsidRDefault="00294BD0">
            <w:pPr>
              <w:spacing w:after="0" w:line="240" w:lineRule="auto"/>
              <w:jc w:val="center"/>
              <w:rPr>
                <w:rFonts w:ascii="Times New Roman" w:eastAsia="Times New Roman" w:hAnsi="Times New Roman" w:cs="Times New Roman"/>
                <w:b/>
                <w:strike/>
              </w:rPr>
            </w:pPr>
          </w:p>
        </w:tc>
        <w:tc>
          <w:tcPr>
            <w:tcW w:w="2127"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zawiązanych partnerstw gospodarczych</w:t>
            </w:r>
          </w:p>
        </w:tc>
        <w:tc>
          <w:tcPr>
            <w:tcW w:w="2835"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Liczba godzin udzielonego indywidualnego doradztwa  z zakresu rozwijania działalności gospodarczej </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pPr>
            <w:r>
              <w:rPr>
                <w:rFonts w:ascii="Times New Roman" w:eastAsia="Times New Roman" w:hAnsi="Times New Roman" w:cs="Times New Roman"/>
              </w:rPr>
              <w:t>Liczba zrealizowanych operacji polegających na rozwoju istniejącego przedsiębiorstwa</w:t>
            </w:r>
            <w:r>
              <w:rPr>
                <w:rFonts w:ascii="Times New Roman" w:eastAsia="Times New Roman" w:hAnsi="Times New Roman" w:cs="Times New Roman"/>
                <w:strike/>
              </w:rPr>
              <w:t xml:space="preserve"> </w:t>
            </w:r>
          </w:p>
        </w:tc>
      </w:tr>
      <w:tr w:rsidR="00294BD0">
        <w:tc>
          <w:tcPr>
            <w:tcW w:w="3716"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jc w:val="center"/>
              <w:rPr>
                <w:rFonts w:ascii="Times New Roman" w:eastAsia="Times New Roman" w:hAnsi="Times New Roman" w:cs="Times New Roman"/>
                <w:b/>
              </w:rPr>
            </w:pPr>
            <w:r>
              <w:rPr>
                <w:rFonts w:ascii="Times New Roman" w:eastAsia="Times New Roman" w:hAnsi="Times New Roman" w:cs="Times New Roman"/>
              </w:rPr>
              <w:t>Liczba uczestników szkolenia z zakresu podejmowania działalności gospodarczej organizowanych przez biuro LGD</w:t>
            </w:r>
          </w:p>
        </w:tc>
        <w:tc>
          <w:tcPr>
            <w:tcW w:w="2629"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nowoutworzonych miejsc pracy w wyniku wsparcia nowoutworzonych przedsiębiorstw w przeliczeniu na pełne etaty średnioroczne</w:t>
            </w:r>
          </w:p>
        </w:tc>
        <w:tc>
          <w:tcPr>
            <w:tcW w:w="2127"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strike/>
              </w:rPr>
            </w:pPr>
            <w:r>
              <w:rPr>
                <w:rFonts w:ascii="Times New Roman" w:eastAsia="Times New Roman" w:hAnsi="Times New Roman" w:cs="Times New Roman"/>
              </w:rPr>
              <w:t>Wzrost liczby przedsiębiorców zaangażowanych we współpracę gospodarczą</w:t>
            </w:r>
          </w:p>
          <w:p w:rsidR="00294BD0" w:rsidRDefault="00294BD0">
            <w:pPr>
              <w:spacing w:after="0" w:line="240" w:lineRule="auto"/>
              <w:jc w:val="center"/>
              <w:rPr>
                <w:rFonts w:ascii="Times New Roman" w:eastAsia="Times New Roman" w:hAnsi="Times New Roman" w:cs="Times New Roman"/>
                <w:strike/>
              </w:rPr>
            </w:pPr>
          </w:p>
        </w:tc>
        <w:tc>
          <w:tcPr>
            <w:tcW w:w="2835" w:type="dxa"/>
            <w:tcBorders>
              <w:top w:val="single" w:sz="4" w:space="0" w:color="000000"/>
              <w:left w:val="single" w:sz="4" w:space="0" w:color="000000"/>
              <w:bottom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uczestników szkolenia z zakresu rozwoju istniejącego przedsiębiorstwa organizowanych przez biuro LGD</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pPr>
            <w:r>
              <w:rPr>
                <w:rFonts w:ascii="Times New Roman" w:eastAsia="Times New Roman" w:hAnsi="Times New Roman" w:cs="Times New Roman"/>
              </w:rPr>
              <w:t>Liczba nowoutworzonych miejsc pracy w wyniku wsparcia rozwoju istniejących przedsiębiorstw w przeliczeniu na pełne etaty średnioroczne</w:t>
            </w:r>
          </w:p>
        </w:tc>
      </w:tr>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Oddziaływanie</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Spadek </w:t>
            </w:r>
            <w:r>
              <w:rPr>
                <w:rFonts w:ascii="Times New Roman" w:eastAsia="Times New Roman" w:hAnsi="Times New Roman" w:cs="Times New Roman"/>
                <w:color w:val="000000"/>
              </w:rPr>
              <w:t>liczby bezrobotnych</w:t>
            </w:r>
            <w:r>
              <w:rPr>
                <w:rFonts w:ascii="Times New Roman" w:eastAsia="Times New Roman" w:hAnsi="Times New Roman" w:cs="Times New Roman"/>
              </w:rPr>
              <w:t xml:space="preserve"> na terenach objętych działalnością LGD</w:t>
            </w:r>
          </w:p>
          <w:p w:rsidR="00294BD0" w:rsidRDefault="00294BD0">
            <w:pPr>
              <w:spacing w:after="0" w:line="240" w:lineRule="auto"/>
              <w:jc w:val="center"/>
            </w:pPr>
            <w:r>
              <w:rPr>
                <w:rFonts w:ascii="Times New Roman" w:eastAsia="Times New Roman" w:hAnsi="Times New Roman" w:cs="Times New Roman"/>
              </w:rPr>
              <w:t>Wzrost liczby podmiotów gospodarczych wpisanych do rejestru REGON na 10 tysięcy mieszkańców</w:t>
            </w:r>
          </w:p>
        </w:tc>
      </w:tr>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Czynniki zewnętrzne mające wpływ na realizację działań i osiągnięcie wskaźników</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Możliwość pozyskiwania środków zewnętrznych</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Rozwój sektora gospodarczego</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Procesy starzenia się - wzrost liczby osób w wieku poprodukcyjnym</w:t>
            </w:r>
          </w:p>
          <w:p w:rsidR="00294BD0" w:rsidRDefault="00294BD0">
            <w:pPr>
              <w:spacing w:after="0" w:line="240" w:lineRule="auto"/>
              <w:jc w:val="center"/>
            </w:pPr>
            <w:r>
              <w:rPr>
                <w:rFonts w:ascii="Times New Roman" w:eastAsia="Times New Roman" w:hAnsi="Times New Roman" w:cs="Times New Roman"/>
              </w:rPr>
              <w:t>Migracje zarobkowe, zwłaszcza ludzi młodych</w:t>
            </w:r>
          </w:p>
        </w:tc>
      </w:tr>
    </w:tbl>
    <w:p w:rsidR="00294BD0" w:rsidRDefault="00294BD0">
      <w:pPr>
        <w:shd w:val="clear" w:color="auto" w:fill="FFFFFF"/>
        <w:spacing w:after="225" w:line="240" w:lineRule="auto"/>
        <w:jc w:val="both"/>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3794"/>
        <w:gridCol w:w="7938"/>
        <w:gridCol w:w="2857"/>
      </w:tblGrid>
      <w:tr w:rsidR="00294BD0">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rsidR="00294BD0" w:rsidRDefault="00294BD0">
            <w:pPr>
              <w:spacing w:after="0" w:line="240" w:lineRule="auto"/>
              <w:jc w:val="center"/>
            </w:pPr>
            <w:r>
              <w:rPr>
                <w:rFonts w:ascii="Times New Roman" w:eastAsia="Times New Roman" w:hAnsi="Times New Roman" w:cs="Times New Roman"/>
              </w:rPr>
              <w:t>Niewykorzystany potencjał przyrodniczy i kulturowy regionu</w:t>
            </w:r>
          </w:p>
        </w:tc>
      </w:tr>
      <w:tr w:rsidR="00294BD0">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rsidR="00294BD0" w:rsidRDefault="00294BD0">
            <w:pPr>
              <w:spacing w:after="0" w:line="240" w:lineRule="auto"/>
              <w:jc w:val="center"/>
            </w:pPr>
            <w:r>
              <w:rPr>
                <w:rFonts w:ascii="Times New Roman" w:eastAsia="Times New Roman" w:hAnsi="Times New Roman" w:cs="Times New Roman"/>
              </w:rPr>
              <w:t>Lepsze wykorzystanie potencjału przyrodniczego i kulturowego w rozwoju regionu</w:t>
            </w:r>
          </w:p>
        </w:tc>
      </w:tr>
      <w:tr w:rsidR="00294BD0">
        <w:trPr>
          <w:trHeight w:val="659"/>
        </w:trPr>
        <w:tc>
          <w:tcPr>
            <w:tcW w:w="379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Rozwój infrastruktury drogowej </w:t>
            </w: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rsidR="00294BD0" w:rsidRDefault="00294BD0">
            <w:pPr>
              <w:spacing w:after="0"/>
              <w:jc w:val="center"/>
              <w:rPr>
                <w:rFonts w:ascii="Times New Roman" w:eastAsia="Times New Roman" w:hAnsi="Times New Roman" w:cs="Times New Roman"/>
                <w:b/>
                <w:color w:val="000000"/>
              </w:rPr>
            </w:pPr>
            <w:r>
              <w:rPr>
                <w:rFonts w:ascii="Times New Roman" w:eastAsia="Times New Roman" w:hAnsi="Times New Roman" w:cs="Times New Roman"/>
                <w:color w:val="000000"/>
              </w:rPr>
              <w:t>Rozwój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rsidR="00294BD0" w:rsidRDefault="00294BD0">
            <w:pPr>
              <w:spacing w:after="0" w:line="240" w:lineRule="auto"/>
              <w:jc w:val="center"/>
            </w:pPr>
            <w:r>
              <w:rPr>
                <w:rFonts w:ascii="Times New Roman" w:eastAsia="Times New Roman" w:hAnsi="Times New Roman" w:cs="Times New Roman"/>
                <w:color w:val="000000"/>
              </w:rPr>
              <w:t>Rozwój usług edukacyjnych</w:t>
            </w:r>
          </w:p>
        </w:tc>
      </w:tr>
      <w:tr w:rsidR="00294BD0">
        <w:tc>
          <w:tcPr>
            <w:tcW w:w="379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Budowa lub przebudowa publicznych  dróg lokalnych</w:t>
            </w: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Rozwój obiektów ogólnodostępnej i niekomercyjnej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rsidR="00294BD0" w:rsidRDefault="00294BD0">
            <w:pPr>
              <w:spacing w:after="0" w:line="240" w:lineRule="auto"/>
              <w:jc w:val="center"/>
            </w:pPr>
            <w:r>
              <w:rPr>
                <w:rFonts w:ascii="Times New Roman" w:eastAsia="Times New Roman" w:hAnsi="Times New Roman" w:cs="Times New Roman"/>
                <w:color w:val="000000"/>
              </w:rPr>
              <w:t>Rozwój ofert edukacyjnych w regionie</w:t>
            </w:r>
          </w:p>
        </w:tc>
      </w:tr>
      <w:tr w:rsidR="00294BD0">
        <w:tc>
          <w:tcPr>
            <w:tcW w:w="3794" w:type="dxa"/>
            <w:vMerge w:val="restart"/>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Produkty</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Liczba kilometrów wybudowanych/przebudowanych dróg</w:t>
            </w: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Produkty</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rPr>
              <w:t xml:space="preserve">Liczba  nowych obiektów infrastruktury turystycznej, rekreacyjnej lub kulturalnej w miejscowościach: : Małomice, Osieczów, Ławszowa, Wymiarki, Lutynka ,Gozdnica,  Czerna, Stawnik, Olbrachtów, Lubomyśl, Mirostowice Górne, Siodło, Miłowice, Biedrzychowice Dolne, Sieniawa Żarska, Węgliniec, </w:t>
            </w:r>
            <w:r>
              <w:rPr>
                <w:rFonts w:ascii="Times New Roman" w:eastAsia="Times New Roman" w:hAnsi="Times New Roman" w:cs="Times New Roman"/>
                <w:color w:val="000000"/>
              </w:rPr>
              <w:t>Przewóz, Potok, Stary Żagań, Jagodzin, Stary Węgliniec, Mirostowice Dolne, Dłużyna Górna, gm. Iłowa,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Silno Małe, Tomisław</w:t>
            </w:r>
          </w:p>
        </w:tc>
        <w:tc>
          <w:tcPr>
            <w:tcW w:w="285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Produkty</w:t>
            </w:r>
          </w:p>
          <w:p w:rsidR="00294BD0" w:rsidRDefault="00294BD0">
            <w:pPr>
              <w:spacing w:after="0" w:line="240" w:lineRule="auto"/>
              <w:jc w:val="center"/>
            </w:pPr>
            <w:r>
              <w:rPr>
                <w:rFonts w:ascii="Times New Roman" w:eastAsia="Times New Roman" w:hAnsi="Times New Roman" w:cs="Times New Roman"/>
                <w:color w:val="000000"/>
              </w:rPr>
              <w:t>Liczba zrealizowanych projektów współpracy</w:t>
            </w:r>
          </w:p>
        </w:tc>
      </w:tr>
      <w:tr w:rsidR="00294BD0">
        <w:trPr>
          <w:trHeight w:val="641"/>
        </w:trPr>
        <w:tc>
          <w:tcPr>
            <w:tcW w:w="3794" w:type="dxa"/>
            <w:vMerge/>
            <w:tcBorders>
              <w:top w:val="single" w:sz="4" w:space="0" w:color="000000"/>
              <w:left w:val="single" w:sz="4" w:space="0" w:color="000000"/>
              <w:bottom w:val="single" w:sz="4" w:space="0" w:color="000000"/>
            </w:tcBorders>
            <w:shd w:val="clear" w:color="auto" w:fill="FFF2CC"/>
            <w:vAlign w:val="center"/>
          </w:tcPr>
          <w:p w:rsidR="00294BD0" w:rsidRDefault="00294BD0">
            <w:pPr>
              <w:snapToGrid w:val="0"/>
              <w:spacing w:after="0" w:line="240" w:lineRule="auto"/>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przebudowanych obiektów infrastruktury turystycznej, rekreacyjnej lub kulturalnej w miejscowościach: Konin Żagański, Pieńsk</w:t>
            </w:r>
            <w:r>
              <w:rPr>
                <w:rFonts w:ascii="Times New Roman" w:eastAsia="Times New Roman" w:hAnsi="Times New Roman" w:cs="Times New Roman"/>
                <w:color w:val="000000"/>
              </w:rPr>
              <w:t xml:space="preserve">, Witoszyn, Stary Żagań </w:t>
            </w:r>
          </w:p>
        </w:tc>
        <w:tc>
          <w:tcPr>
            <w:tcW w:w="28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napToGrid w:val="0"/>
              <w:spacing w:after="0" w:line="240" w:lineRule="auto"/>
              <w:rPr>
                <w:rFonts w:ascii="Times New Roman" w:eastAsia="Times New Roman" w:hAnsi="Times New Roman" w:cs="Times New Roman"/>
                <w:color w:val="000000"/>
              </w:rPr>
            </w:pPr>
          </w:p>
        </w:tc>
      </w:tr>
      <w:tr w:rsidR="00294BD0">
        <w:trPr>
          <w:trHeight w:val="724"/>
        </w:trPr>
        <w:tc>
          <w:tcPr>
            <w:tcW w:w="3794" w:type="dxa"/>
            <w:vMerge/>
            <w:tcBorders>
              <w:top w:val="single" w:sz="4" w:space="0" w:color="000000"/>
              <w:left w:val="single" w:sz="4" w:space="0" w:color="000000"/>
              <w:bottom w:val="single" w:sz="4" w:space="0" w:color="000000"/>
            </w:tcBorders>
            <w:shd w:val="clear" w:color="auto" w:fill="FFF2CC"/>
            <w:vAlign w:val="center"/>
          </w:tcPr>
          <w:p w:rsidR="00294BD0" w:rsidRDefault="00294BD0">
            <w:pPr>
              <w:snapToGrid w:val="0"/>
              <w:spacing w:after="0" w:line="240" w:lineRule="auto"/>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w:t>
            </w:r>
            <w:r>
              <w:rPr>
                <w:rFonts w:ascii="Times New Roman" w:eastAsia="Times New Roman" w:hAnsi="Times New Roman" w:cs="Times New Roman"/>
              </w:rPr>
              <w:t xml:space="preserve">, Pieńsk, </w:t>
            </w:r>
            <w:r>
              <w:rPr>
                <w:rFonts w:ascii="Times New Roman" w:eastAsia="Times New Roman" w:hAnsi="Times New Roman" w:cs="Times New Roman"/>
                <w:color w:val="000000"/>
              </w:rPr>
              <w:t>Gozdnica</w:t>
            </w:r>
          </w:p>
        </w:tc>
        <w:tc>
          <w:tcPr>
            <w:tcW w:w="28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napToGrid w:val="0"/>
              <w:spacing w:after="0" w:line="240" w:lineRule="auto"/>
              <w:rPr>
                <w:rFonts w:ascii="Times New Roman" w:eastAsia="Times New Roman" w:hAnsi="Times New Roman" w:cs="Times New Roman"/>
                <w:color w:val="000000"/>
              </w:rPr>
            </w:pPr>
          </w:p>
        </w:tc>
      </w:tr>
      <w:tr w:rsidR="00294BD0">
        <w:tc>
          <w:tcPr>
            <w:tcW w:w="379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Wzrost liczby osób korzystających z nowej lub przebudowanej infrastruktury drogowej łączącej obiekty użyteczności publicznej z siecią dróg publicznych albo skracających dystans lub czas dojazdu do nich</w:t>
            </w:r>
          </w:p>
        </w:tc>
        <w:tc>
          <w:tcPr>
            <w:tcW w:w="7938"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Wzrost liczby mieszkańców gmin objętych działalnością LGD  korzystających z nowej lub przebudowanej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rsidR="00294BD0" w:rsidRDefault="00294BD0">
            <w:pPr>
              <w:spacing w:after="0" w:line="240" w:lineRule="auto"/>
              <w:jc w:val="center"/>
            </w:pPr>
            <w:r>
              <w:rPr>
                <w:rFonts w:ascii="Times New Roman" w:eastAsia="Times New Roman" w:hAnsi="Times New Roman" w:cs="Times New Roman"/>
                <w:color w:val="000000"/>
              </w:rPr>
              <w:t>Liczba uczniów, którzy skorzystali z nowej oferty edukacyjnej</w:t>
            </w:r>
          </w:p>
        </w:tc>
      </w:tr>
      <w:tr w:rsidR="00294BD0">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Oddziaływanie</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noclegów w gminach  wchodzących w skład LGD</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odsetka mieszkańców gmin objętych działalnością LGD, którzy słyszeli o działaniach podejmowanych przez Stowarzyszenie Lokalna Grupa Działania Bory Dolnośląskie</w:t>
            </w:r>
          </w:p>
          <w:p w:rsidR="00294BD0" w:rsidRDefault="00294BD0">
            <w:pPr>
              <w:spacing w:after="0" w:line="240" w:lineRule="auto"/>
              <w:jc w:val="center"/>
            </w:pPr>
            <w:r>
              <w:rPr>
                <w:rFonts w:ascii="Times New Roman" w:eastAsia="Times New Roman" w:hAnsi="Times New Roman" w:cs="Times New Roman"/>
                <w:color w:val="000000"/>
              </w:rPr>
              <w:t>Wzrost liczby mieszkańców gmin objętych działalnością LGD, u których zwiększył się poziom wiedzy o regionie Bory Dolnośląskie</w:t>
            </w:r>
          </w:p>
        </w:tc>
      </w:tr>
      <w:tr w:rsidR="00294BD0">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Czynniki zewnętrzne mające wpływ na realizację działań i osiągnięcie wskaźników</w:t>
            </w:r>
          </w:p>
          <w:p w:rsidR="00294BD0" w:rsidRDefault="00294BD0">
            <w:pPr>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rPr>
              <w:t>Możliwość pozyskiwania środków zewnętrznych</w:t>
            </w:r>
          </w:p>
          <w:p w:rsidR="00294BD0" w:rsidRDefault="00294BD0">
            <w:pPr>
              <w:spacing w:after="0" w:line="240" w:lineRule="auto"/>
              <w:jc w:val="center"/>
              <w:rPr>
                <w:rFonts w:ascii="Times New Roman" w:hAnsi="Times New Roman" w:cs="Times New Roman"/>
                <w:color w:val="000000"/>
              </w:rPr>
            </w:pPr>
            <w:r>
              <w:rPr>
                <w:rFonts w:ascii="Times New Roman" w:hAnsi="Times New Roman" w:cs="Times New Roman"/>
                <w:color w:val="000000"/>
              </w:rPr>
              <w:t>Nadmierna eksploatacja zasobów naturalnych oraz zanieczyszczenie środowiska</w:t>
            </w:r>
          </w:p>
          <w:p w:rsidR="00294BD0" w:rsidRDefault="00294BD0">
            <w:pPr>
              <w:spacing w:after="0" w:line="240" w:lineRule="auto"/>
              <w:jc w:val="center"/>
            </w:pPr>
            <w:r>
              <w:rPr>
                <w:rFonts w:ascii="Times New Roman" w:hAnsi="Times New Roman" w:cs="Times New Roman"/>
                <w:color w:val="000000"/>
              </w:rPr>
              <w:t>Rozwój różnych form turystyki opartej o wykorzystanie istniejącego potencjału przyrodniczego i kulturowego</w:t>
            </w:r>
          </w:p>
        </w:tc>
      </w:tr>
    </w:tbl>
    <w:p w:rsidR="00294BD0" w:rsidRDefault="00294BD0">
      <w:pPr>
        <w:shd w:val="clear" w:color="auto" w:fill="FFFFFF"/>
        <w:spacing w:after="225" w:line="240" w:lineRule="auto"/>
        <w:jc w:val="both"/>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2263"/>
        <w:gridCol w:w="2410"/>
        <w:gridCol w:w="2606"/>
        <w:gridCol w:w="3640"/>
        <w:gridCol w:w="3670"/>
      </w:tblGrid>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rsidR="00294BD0" w:rsidRDefault="00294BD0">
            <w:pPr>
              <w:spacing w:after="0" w:line="240" w:lineRule="auto"/>
              <w:jc w:val="center"/>
            </w:pPr>
            <w:r>
              <w:rPr>
                <w:rFonts w:ascii="Times New Roman" w:eastAsia="Times New Roman" w:hAnsi="Times New Roman" w:cs="Times New Roman"/>
              </w:rPr>
              <w:t>Niski poziom aktywności społecznej mieszkańców gmin objętych działaniem LGD</w:t>
            </w:r>
          </w:p>
        </w:tc>
      </w:tr>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rsidR="00294BD0" w:rsidRDefault="00294BD0">
            <w:pPr>
              <w:spacing w:after="0" w:line="240" w:lineRule="auto"/>
              <w:jc w:val="center"/>
            </w:pPr>
            <w:r>
              <w:rPr>
                <w:rFonts w:ascii="Times New Roman" w:eastAsia="Times New Roman" w:hAnsi="Times New Roman" w:cs="Times New Roman"/>
              </w:rPr>
              <w:t>Wzrost kapitału społecznego na obszarze LGD</w:t>
            </w:r>
          </w:p>
        </w:tc>
      </w:tr>
      <w:tr w:rsidR="00294BD0">
        <w:tc>
          <w:tcPr>
            <w:tcW w:w="7279" w:type="dxa"/>
            <w:gridSpan w:val="3"/>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Rozwój kulturalny i turystyczny regionu</w:t>
            </w:r>
          </w:p>
        </w:tc>
        <w:tc>
          <w:tcPr>
            <w:tcW w:w="731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rsidR="00294BD0" w:rsidRDefault="00294BD0">
            <w:pPr>
              <w:spacing w:after="0" w:line="240" w:lineRule="auto"/>
              <w:jc w:val="center"/>
            </w:pPr>
            <w:r>
              <w:rPr>
                <w:rFonts w:ascii="Times New Roman" w:eastAsia="Times New Roman" w:hAnsi="Times New Roman" w:cs="Times New Roman"/>
              </w:rPr>
              <w:t>Zwiększenie zaangażowania i współpracy mieszkańców</w:t>
            </w:r>
          </w:p>
        </w:tc>
      </w:tr>
      <w:tr w:rsidR="00294BD0">
        <w:trPr>
          <w:trHeight w:val="1928"/>
        </w:trPr>
        <w:tc>
          <w:tcPr>
            <w:tcW w:w="2263"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Zachowanie dziedzictwa kulturowego regionu</w:t>
            </w:r>
          </w:p>
        </w:tc>
        <w:tc>
          <w:tcPr>
            <w:tcW w:w="241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Projekty Grantowe</w:t>
            </w:r>
          </w:p>
        </w:tc>
        <w:tc>
          <w:tcPr>
            <w:tcW w:w="2606"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Rozwój ofert turystycznych w regionie</w:t>
            </w:r>
          </w:p>
        </w:tc>
        <w:tc>
          <w:tcPr>
            <w:tcW w:w="364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Wzmocnienie potencjału organizacji pozarządowych</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rsidR="00294BD0" w:rsidRDefault="00294BD0">
            <w:pPr>
              <w:spacing w:after="0" w:line="240" w:lineRule="auto"/>
              <w:jc w:val="center"/>
            </w:pPr>
            <w:r>
              <w:rPr>
                <w:rFonts w:ascii="Times New Roman" w:eastAsia="Times New Roman" w:hAnsi="Times New Roman" w:cs="Times New Roman"/>
              </w:rPr>
              <w:t>Działania wzmacniające aktywność lokalnej społeczności</w:t>
            </w:r>
          </w:p>
        </w:tc>
      </w:tr>
      <w:tr w:rsidR="00294BD0">
        <w:tc>
          <w:tcPr>
            <w:tcW w:w="2263"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wydarzeń/</w:t>
            </w:r>
            <w:r>
              <w:rPr>
                <w:rFonts w:ascii="Times New Roman" w:eastAsia="Times New Roman" w:hAnsi="Times New Roman" w:cs="Times New Roman"/>
                <w:color w:val="0D0D0D"/>
              </w:rPr>
              <w:t>imprez</w:t>
            </w:r>
            <w:r>
              <w:rPr>
                <w:rFonts w:ascii="Times New Roman" w:eastAsia="Times New Roman" w:hAnsi="Times New Roman" w:cs="Times New Roman"/>
              </w:rPr>
              <w:t xml:space="preserve"> promujących zachowanie dziedzictwa obszaru LGD</w:t>
            </w:r>
          </w:p>
        </w:tc>
        <w:tc>
          <w:tcPr>
            <w:tcW w:w="241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godzin doradztwa udzielonego w ramach cyklu szkoleniowego </w:t>
            </w:r>
          </w:p>
          <w:p w:rsidR="00294BD0" w:rsidRDefault="00294BD0">
            <w:pPr>
              <w:spacing w:after="0" w:line="240" w:lineRule="auto"/>
              <w:jc w:val="center"/>
              <w:rPr>
                <w:rFonts w:ascii="Times New Roman" w:eastAsia="Times New Roman" w:hAnsi="Times New Roman" w:cs="Times New Roman"/>
              </w:rPr>
            </w:pPr>
          </w:p>
        </w:tc>
        <w:tc>
          <w:tcPr>
            <w:tcW w:w="2606"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zrealizowanych projektów współpracy</w:t>
            </w:r>
          </w:p>
        </w:tc>
        <w:tc>
          <w:tcPr>
            <w:tcW w:w="364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wydarzeń zorganizowanych przez organizacje pozarządowe</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rsidR="00294BD0" w:rsidRDefault="00294BD0">
            <w:pPr>
              <w:spacing w:after="0" w:line="240" w:lineRule="auto"/>
              <w:jc w:val="center"/>
            </w:pPr>
            <w:r>
              <w:rPr>
                <w:rFonts w:ascii="Times New Roman" w:eastAsia="Times New Roman" w:hAnsi="Times New Roman" w:cs="Times New Roman"/>
              </w:rPr>
              <w:t>Liczba wybudowanych obiektów ogólnodostępnej i niekomercyjnej infrastruktury turystycznej, rekreacyjnej lub kulturalnej</w:t>
            </w:r>
          </w:p>
        </w:tc>
      </w:tr>
      <w:tr w:rsidR="00294BD0">
        <w:tc>
          <w:tcPr>
            <w:tcW w:w="2263"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uczestniczących w wydarzeniach promujących zachowanie dziedzictwa lokalnego</w:t>
            </w:r>
          </w:p>
        </w:tc>
        <w:tc>
          <w:tcPr>
            <w:tcW w:w="241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uczestników szkoleń organizowanych przez biuro LGD</w:t>
            </w:r>
          </w:p>
          <w:p w:rsidR="00294BD0" w:rsidRDefault="00294BD0">
            <w:pPr>
              <w:spacing w:after="0" w:line="240" w:lineRule="auto"/>
              <w:jc w:val="center"/>
              <w:rPr>
                <w:rFonts w:ascii="Times New Roman" w:eastAsia="Times New Roman" w:hAnsi="Times New Roman" w:cs="Times New Roman"/>
              </w:rPr>
            </w:pPr>
          </w:p>
        </w:tc>
        <w:tc>
          <w:tcPr>
            <w:tcW w:w="2606"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które skorzystały z pakietów ofert turystycznych powstałych w wyniku projektów współpracy</w:t>
            </w:r>
          </w:p>
        </w:tc>
        <w:tc>
          <w:tcPr>
            <w:tcW w:w="364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uczestniczących w wydarzeniach organizowanych przez organizacje pozarządowe</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rsidR="00294BD0" w:rsidRDefault="00294BD0">
            <w:pPr>
              <w:spacing w:after="0" w:line="240" w:lineRule="auto"/>
              <w:jc w:val="center"/>
            </w:pPr>
            <w:r>
              <w:rPr>
                <w:rFonts w:ascii="Times New Roman" w:eastAsia="Times New Roman" w:hAnsi="Times New Roman" w:cs="Times New Roman"/>
              </w:rPr>
              <w:t>Liczba osób korzystających z nowopowstałej, ogólnodostępnej i niekomercyjnej infrastruktury turystycznej, rekreacyjnej lub kulturalnej powstałej w ramach mikrograntów</w:t>
            </w:r>
          </w:p>
        </w:tc>
      </w:tr>
      <w:tr w:rsidR="00294BD0">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Oddziaływanie</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odsetka mieszkańców gmin objętych działalnością LGD deklarujących chęć zaangażowania się na rzecz społeczności lokalnej</w:t>
            </w:r>
          </w:p>
          <w:p w:rsidR="00294BD0" w:rsidRDefault="00294BD0">
            <w:pPr>
              <w:spacing w:after="0" w:line="240" w:lineRule="auto"/>
              <w:jc w:val="center"/>
            </w:pPr>
            <w:r>
              <w:rPr>
                <w:rFonts w:ascii="Times New Roman" w:eastAsia="Times New Roman" w:hAnsi="Times New Roman" w:cs="Times New Roman"/>
              </w:rPr>
              <w:t>Wzrost liczby organizacji pozarządowych w przeliczeniu na 10 tysięcy mieszkańców</w:t>
            </w:r>
          </w:p>
        </w:tc>
      </w:tr>
      <w:tr w:rsidR="00294BD0">
        <w:trPr>
          <w:trHeight w:val="70"/>
        </w:trPr>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Czynniki zewnętrzne mające wpływ na realizację działań i osiągnięcie wskaźników</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Możliwość pozyskiwania środków zewnętrznych</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Ubożenie społeczeństwa </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Procesy starzenia się - wzrost liczby osób w wieku poprodukcyjnym</w:t>
            </w:r>
          </w:p>
          <w:p w:rsidR="00294BD0" w:rsidRDefault="00294BD0">
            <w:pPr>
              <w:spacing w:after="0" w:line="240" w:lineRule="auto"/>
              <w:jc w:val="center"/>
            </w:pPr>
            <w:r>
              <w:rPr>
                <w:rFonts w:ascii="Times New Roman" w:eastAsia="Times New Roman" w:hAnsi="Times New Roman" w:cs="Times New Roman"/>
              </w:rPr>
              <w:t>Migracje zarobkowe, zwłaszcza ludzi młodych</w:t>
            </w:r>
          </w:p>
        </w:tc>
      </w:tr>
    </w:tbl>
    <w:p w:rsidR="00294BD0" w:rsidRDefault="00294BD0">
      <w:pPr>
        <w:spacing w:after="0"/>
        <w:rPr>
          <w:rFonts w:ascii="Times New Roman" w:eastAsia="Times New Roman" w:hAnsi="Times New Roman" w:cs="Times New Roman"/>
        </w:rPr>
        <w:sectPr w:rsidR="00294BD0">
          <w:footerReference w:type="default" r:id="rId21"/>
          <w:pgSz w:w="16838" w:h="11906" w:orient="landscape"/>
          <w:pgMar w:top="851" w:right="851" w:bottom="1418" w:left="851" w:header="708" w:footer="708" w:gutter="0"/>
          <w:cols w:space="708"/>
          <w:docGrid w:linePitch="600" w:charSpace="36864"/>
        </w:sectPr>
      </w:pPr>
      <w:r>
        <w:rPr>
          <w:rFonts w:ascii="Times New Roman" w:hAnsi="Times New Roman" w:cs="Times New Roman"/>
          <w:i/>
        </w:rPr>
        <w:t>(Tabela nr 23 – Matryce logicznych powiązań dla wszystkich celów ogólnych LSR – badania własne LGD)</w:t>
      </w:r>
    </w:p>
    <w:p w:rsidR="00294BD0" w:rsidRDefault="00294BD0">
      <w:pPr>
        <w:shd w:val="clear" w:color="auto" w:fill="FFFFFF"/>
        <w:spacing w:after="0" w:line="240" w:lineRule="auto"/>
        <w:jc w:val="both"/>
        <w:rPr>
          <w:rFonts w:ascii="Times New Roman" w:eastAsia="Times New Roman" w:hAnsi="Times New Roman" w:cs="Times New Roman"/>
        </w:rPr>
      </w:pP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 xml:space="preserve">Wykazanie zgodności celów z celami programu </w:t>
      </w:r>
    </w:p>
    <w:p w:rsidR="00294BD0" w:rsidRDefault="00294BD0">
      <w:pPr>
        <w:autoSpaceDE w:val="0"/>
        <w:spacing w:after="0" w:line="240" w:lineRule="auto"/>
        <w:ind w:left="284"/>
        <w:jc w:val="both"/>
        <w:rPr>
          <w:rFonts w:ascii="Times New Roman" w:eastAsia="Times New Roman" w:hAnsi="Times New Roman" w:cs="Times New Roman"/>
          <w:b/>
        </w:rPr>
      </w:pPr>
    </w:p>
    <w:p w:rsidR="00294BD0" w:rsidRDefault="00294BD0">
      <w:pPr>
        <w:autoSpaceDE w:val="0"/>
        <w:spacing w:after="0" w:line="240" w:lineRule="auto"/>
        <w:ind w:left="284"/>
        <w:jc w:val="both"/>
      </w:pPr>
      <w:r>
        <w:rPr>
          <w:rFonts w:ascii="Times New Roman" w:hAnsi="Times New Roman" w:cs="Times New Roman"/>
        </w:rPr>
        <w:t xml:space="preserve">Planowane do realizacji w LSR cele są zgodne z Priorytetem VI Programu Rozwoju Obszarów Wiejskich na lata 2014-2020: </w:t>
      </w:r>
      <w:r>
        <w:rPr>
          <w:rFonts w:ascii="Times New Roman" w:hAnsi="Times New Roman" w:cs="Times New Roman"/>
          <w:i/>
        </w:rPr>
        <w:t xml:space="preserve">Zwiększanie włączenia społecznego, ograniczanie ubóstwa i promowanie rozwoju gospodarczego na obszarach wiejskich. </w:t>
      </w:r>
      <w:r>
        <w:rPr>
          <w:rFonts w:ascii="Times New Roman" w:hAnsi="Times New Roman" w:cs="Times New Roman"/>
        </w:rPr>
        <w:t xml:space="preserve">Ponadto są zgodne z celem szczegółowym 6A </w:t>
      </w:r>
      <w:r>
        <w:rPr>
          <w:rFonts w:ascii="Times New Roman" w:hAnsi="Times New Roman" w:cs="Times New Roman"/>
          <w:i/>
        </w:rPr>
        <w:t xml:space="preserve">Ułatwianie różnicowania działalności, zakładania i rozwoju małych przedsiębiorstw i tworzenia miejsc pracy </w:t>
      </w:r>
      <w:r>
        <w:rPr>
          <w:rFonts w:ascii="Times New Roman" w:hAnsi="Times New Roman" w:cs="Times New Roman"/>
        </w:rPr>
        <w:t xml:space="preserve">i celem szczegółowym 6B </w:t>
      </w:r>
      <w:r>
        <w:rPr>
          <w:rFonts w:ascii="Times New Roman" w:hAnsi="Times New Roman" w:cs="Times New Roman"/>
          <w:i/>
        </w:rPr>
        <w:t>Wspieranie lokalnego rozwoju na obszarach wiejskich</w:t>
      </w:r>
      <w:r>
        <w:rPr>
          <w:rFonts w:ascii="Times New Roman" w:hAnsi="Times New Roman" w:cs="Times New Roman"/>
        </w:rPr>
        <w:t>. Warto też podkreślić, że żeby</w:t>
      </w:r>
      <w:r>
        <w:rPr>
          <w:rFonts w:ascii="Times New Roman" w:hAnsi="Times New Roman" w:cs="Times New Roman"/>
          <w:color w:val="000000"/>
          <w:sz w:val="24"/>
          <w:szCs w:val="24"/>
          <w:shd w:val="clear" w:color="auto" w:fill="FFFFFF"/>
        </w:rPr>
        <w:t xml:space="preserve"> cele wskazane w LSR były zgodne z celami przekrojowymi PROW 2014-2020 tj. </w:t>
      </w:r>
      <w:r>
        <w:rPr>
          <w:rFonts w:ascii="Times New Roman" w:hAnsi="Times New Roman" w:cs="Times New Roman"/>
          <w:i/>
          <w:color w:val="000000"/>
          <w:sz w:val="24"/>
          <w:szCs w:val="24"/>
          <w:shd w:val="clear" w:color="auto" w:fill="FFFFFF"/>
        </w:rPr>
        <w:t>ochrona środowiska, przeciwdziałanie zmianom klimatu oraz innowacyjność</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wprowadzono w Kryteriach Wyboru Operacji i Kryteriach Wyboru Grantów te dwa kryteria preferując w ten sposób  operacje zawierające te elementy, o których wspomniano wyżej.</w:t>
      </w:r>
    </w:p>
    <w:p w:rsidR="00294BD0" w:rsidRDefault="00294BD0">
      <w:pPr>
        <w:autoSpaceDE w:val="0"/>
        <w:spacing w:after="0" w:line="240" w:lineRule="auto"/>
        <w:jc w:val="both"/>
      </w:pP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Przedstawienie celów z podziałem na źródła finansowania</w:t>
      </w:r>
    </w:p>
    <w:p w:rsidR="00294BD0" w:rsidRDefault="00294BD0">
      <w:pPr>
        <w:autoSpaceDE w:val="0"/>
        <w:spacing w:after="0" w:line="240" w:lineRule="auto"/>
        <w:jc w:val="both"/>
        <w:rPr>
          <w:rFonts w:ascii="Times New Roman" w:eastAsia="Times New Roman" w:hAnsi="Times New Roman" w:cs="Times New Roman"/>
          <w:b/>
        </w:rPr>
      </w:pPr>
    </w:p>
    <w:p w:rsidR="00294BD0" w:rsidRDefault="00294BD0">
      <w:pPr>
        <w:autoSpaceDE w:val="0"/>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Środki przeznaczone na wdrażanie Strategii zostały przypisane poszczególnym działaniom w rozbiciu na czas ich realizacji oraz cel, które realizują. Zestawienie celów ze źródłem finansowania zostało szczegółowo przedstawione w rozdziale VII Plan działania.</w:t>
      </w:r>
    </w:p>
    <w:p w:rsidR="00294BD0" w:rsidRDefault="00294BD0">
      <w:pPr>
        <w:autoSpaceDE w:val="0"/>
        <w:spacing w:after="0" w:line="240" w:lineRule="auto"/>
        <w:ind w:left="720"/>
        <w:jc w:val="both"/>
        <w:rPr>
          <w:rFonts w:ascii="Times New Roman" w:eastAsia="Times New Roman" w:hAnsi="Times New Roman" w:cs="Times New Roman"/>
          <w:color w:val="FF0000"/>
        </w:rPr>
      </w:pP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Przedstawienie przedsięwzięć realizowanych w ramach RLKS</w:t>
      </w:r>
    </w:p>
    <w:p w:rsidR="00294BD0" w:rsidRDefault="00294BD0">
      <w:pPr>
        <w:autoSpaceDE w:val="0"/>
        <w:spacing w:after="0" w:line="240" w:lineRule="auto"/>
        <w:ind w:left="720" w:hanging="436"/>
        <w:jc w:val="both"/>
        <w:rPr>
          <w:rFonts w:ascii="Times New Roman" w:eastAsia="Times New Roman" w:hAnsi="Times New Roman" w:cs="Times New Roman"/>
          <w:b/>
        </w:rPr>
      </w:pPr>
      <w:r>
        <w:rPr>
          <w:rFonts w:ascii="Times New Roman" w:eastAsia="Times New Roman" w:hAnsi="Times New Roman" w:cs="Times New Roman"/>
        </w:rPr>
        <w:t>W ramach RLKS realizowane będą następujące przedsięwzięcia:</w:t>
      </w:r>
    </w:p>
    <w:p w:rsidR="00294BD0" w:rsidRDefault="00294BD0">
      <w:pPr>
        <w:numPr>
          <w:ilvl w:val="0"/>
          <w:numId w:val="16"/>
        </w:numPr>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Podniesienie poziomu wiedzy z zakresu możliwości aplikowania o środki na działania związane z rozwojem przedsiębiorczości - </w:t>
      </w:r>
      <w:r>
        <w:rPr>
          <w:rFonts w:ascii="Times New Roman" w:eastAsia="Times New Roman" w:hAnsi="Times New Roman" w:cs="Times New Roman"/>
        </w:rPr>
        <w:t>jest ono ściśle związane z obsługą beneficjentów, którzy noszą się z zamiarem uruchomienia działalności gospodarczej, w tym osoby z  grup defaworyzowanych ze względu na dostęp do rynku pracy. Środki na to działanie ponoszone będą w ramach kosztów bieżących –</w:t>
      </w:r>
      <w:r>
        <w:rPr>
          <w:rFonts w:ascii="Times New Roman" w:eastAsia="Times New Roman" w:hAnsi="Times New Roman" w:cs="Times New Roman"/>
          <w:color w:val="000000"/>
        </w:rPr>
        <w:t>3.600 zł</w:t>
      </w:r>
    </w:p>
    <w:p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bookmarkStart w:id="0" w:name="_Hlk67851464"/>
      <w:r>
        <w:rPr>
          <w:rFonts w:ascii="Times New Roman" w:eastAsia="Times New Roman" w:hAnsi="Times New Roman" w:cs="Times New Roman"/>
          <w:b/>
        </w:rPr>
        <w:t xml:space="preserve">Powstanie nowych przedsiębiorstw </w:t>
      </w:r>
      <w:r>
        <w:rPr>
          <w:rFonts w:ascii="Times New Roman" w:eastAsia="Times New Roman" w:hAnsi="Times New Roman" w:cs="Times New Roman"/>
        </w:rPr>
        <w:t>– jest to odpowiedź na wskazywane przez mieszkańców problemy związane z migracją zarobkową, niskimi zarobkami, zagrożeniem ubóstwem i bezrobociem.</w:t>
      </w:r>
      <w:r>
        <w:rPr>
          <w:rFonts w:ascii="Times New Roman" w:eastAsia="Times New Roman" w:hAnsi="Times New Roman" w:cs="Times New Roman"/>
          <w:b/>
        </w:rPr>
        <w:t xml:space="preserve"> </w:t>
      </w:r>
      <w:r>
        <w:rPr>
          <w:rFonts w:ascii="Times New Roman" w:eastAsia="Times New Roman" w:hAnsi="Times New Roman" w:cs="Times New Roman"/>
        </w:rPr>
        <w:t xml:space="preserve">Realizacja tego przedsięwzięcia przyczyni się do rozwoju przedsiębiorstwa na obszarze LGD. Po dogłębnej analizie lokalnego rynku „dotacji” na uruchamianie działalności gospodarczej, głównie przyznawanej przez PUP w wysokości ok. 20 tys. zł z budżetu państwa i 40 tys. zł ze środków unijnych (EFS) mamy wiedzę, że środki te rokrocznie rozchodzą się w całości, a zainteresowanie nimi jest większe niż możliwości finansowe PUP. Wynika z tego również, że proponowane przez nas wsparcie jest dużo wyższe od tego dotychczas dostępnego na rynku. Należy tutaj wziąć jednak pod uwagę fakt, że będziemy premiować operacje innowacyjne i wprowadzające rozwiązania służące ochronie środowiska. Takich warunków nie stawiał PUP, a ich ewentualnie wdrożenie wiąże się na pewno z potrzebą większych środków finansowych na start. Nasze dotychczasowe doświadczenie, jako LGD w ramach wdrażanego w poprzednim okresie programowania działania: „Tworzenie i rozwój mikroprzedsiębiorstw” pokazuje, że zainteresowanie uruchomieniem działalności, czy też jej rozwijaniem było duże, a średnia wartość operacji wynosiła 105 tys. zł. Biorąc pod uwagę powyższe dane kwotę wsparcia ustala się na 100.000 złotych. Przedsięwzięcie będzie realizowane w ramach zakresu: „podejmowanie działalności gospodarczej” i przeznaczono na nie kwotę w LSR w </w:t>
      </w:r>
      <w:r>
        <w:rPr>
          <w:rFonts w:ascii="Times New Roman" w:eastAsia="Times New Roman" w:hAnsi="Times New Roman" w:cs="Times New Roman"/>
          <w:color w:val="000000"/>
        </w:rPr>
        <w:t xml:space="preserve">wysokości:   </w:t>
      </w:r>
      <w:r w:rsidR="00225E6F" w:rsidRPr="00217016">
        <w:rPr>
          <w:rFonts w:ascii="Times New Roman" w:eastAsia="Times New Roman" w:hAnsi="Times New Roman" w:cs="Times New Roman"/>
          <w:color w:val="000000"/>
        </w:rPr>
        <w:t>1100.403,83</w:t>
      </w:r>
      <w:r w:rsidRPr="00217016">
        <w:rPr>
          <w:rFonts w:ascii="Times New Roman" w:eastAsia="Times New Roman" w:hAnsi="Times New Roman" w:cs="Times New Roman"/>
          <w:color w:val="000000"/>
        </w:rPr>
        <w:t>euro</w:t>
      </w:r>
      <w:r>
        <w:rPr>
          <w:rFonts w:ascii="Times New Roman" w:eastAsia="Times New Roman" w:hAnsi="Times New Roman" w:cs="Times New Roman"/>
          <w:color w:val="000000"/>
        </w:rPr>
        <w:t>,</w:t>
      </w:r>
      <w:r w:rsidR="00225E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(830.000 zł to dodatkowe środki finansowe, o które LGD mogło się ubiegać spełniając </w:t>
      </w:r>
      <w:r>
        <w:rPr>
          <w:rFonts w:ascii="TimesNewRomanPSMT" w:hAnsi="TimesNewRomanPSMT" w:cs="TimesNewRomanPSMT"/>
          <w:color w:val="000000"/>
        </w:rPr>
        <w:t xml:space="preserve">warunki określone w § 8 ust. 3 umowy ramowej, kolejne 500.000 </w:t>
      </w:r>
      <w:r w:rsidR="00225E6F">
        <w:rPr>
          <w:rFonts w:ascii="TimesNewRomanPSMT" w:hAnsi="TimesNewRomanPSMT" w:cs="TimesNewRomanPSMT"/>
          <w:color w:val="000000"/>
        </w:rPr>
        <w:t xml:space="preserve">i 296.000,00 </w:t>
      </w:r>
      <w:r>
        <w:rPr>
          <w:rFonts w:ascii="TimesNewRomanPSMT" w:hAnsi="TimesNewRomanPSMT" w:cs="TimesNewRomanPSMT"/>
          <w:color w:val="000000"/>
        </w:rPr>
        <w:t xml:space="preserve">to dodatkowe środki finansowe, w związku ze zwiększonym budżetem działania LEADER) </w:t>
      </w:r>
    </w:p>
    <w:p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istniejących przedsiębiorstw – </w:t>
      </w:r>
      <w:r>
        <w:rPr>
          <w:rFonts w:ascii="Times New Roman" w:eastAsia="Times New Roman" w:hAnsi="Times New Roman" w:cs="Times New Roman"/>
          <w:color w:val="000000"/>
        </w:rPr>
        <w:t>jest to działanie z jednej strony mające na celu wzmocnienie istniejących podmiotów gospodarczych, a z drugiej pozwalające na zwiększenie lub poszerzenie dotychczasowego profilu działalności. W ramach tego przedsięwzięcia premiowane będą te operacje, które wprowadzają innowacyjne rozwiązania i są przyjazne dla środowiska. Dodatkowe punkty zostaną przyznane operacjom deklarującym zatrudnienie osoby wskazanej w grupie defaworyzowanych pod kątem dostępu do rynku pracy. Poziom dofinansowania 70%. Biorąc pod uwagę fakt, że o wsparcie mogą aplikować mikro i mali przedsiębiorcy kwota maksymalna kwota dofinansowania wynosi 300 tysięcy. Przedsięwzięcie będzie realizowane w ramach zakresu: „rozwój przedsiębiorstw” i przeznaczono na nie kwotę w LSR w wysokości</w:t>
      </w:r>
      <w:r>
        <w:rPr>
          <w:rFonts w:ascii="Times New Roman" w:eastAsia="Times New Roman" w:hAnsi="Times New Roman" w:cs="Times New Roman"/>
          <w:color w:val="FF0000"/>
        </w:rPr>
        <w:t xml:space="preserve"> </w:t>
      </w:r>
      <w:r>
        <w:rPr>
          <w:rFonts w:ascii="Times New Roman" w:hAnsi="Times New Roman" w:cs="Times New Roman"/>
          <w:b/>
          <w:bCs/>
        </w:rPr>
        <w:t>428 621,18</w:t>
      </w:r>
      <w:r>
        <w:rPr>
          <w:rFonts w:ascii="Times New Roman" w:eastAsia="Times New Roman" w:hAnsi="Times New Roman" w:cs="Times New Roman"/>
          <w:color w:val="000000"/>
        </w:rPr>
        <w:t xml:space="preserve"> euro</w:t>
      </w:r>
    </w:p>
    <w:p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Współpraca podmiotów gospodarczych – </w:t>
      </w:r>
      <w:r>
        <w:rPr>
          <w:rFonts w:ascii="Times New Roman" w:eastAsia="Times New Roman" w:hAnsi="Times New Roman" w:cs="Times New Roman"/>
          <w:color w:val="000000"/>
        </w:rPr>
        <w:t>jest to działanie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służące zacieśnianiu współpracy gospodarczej pomiędzy podmiotami funkcjonującymi na obszarze LGD i prowadzącymi działalność w określonym zakresie. Poziom dofinansowania 70%, natomiast maksymalna kwota dofinansowania na jednego Beneficjenta wynosi 300 tysięcy. Przedsięwzięcie będzie realizowane w ramach zakresu: „wspierania współpracy pomiędzy podmiotami wykonującymi działalność gospodarczą” i przeznaczono na nie kwotę w LSR w wysokości:  </w:t>
      </w:r>
      <w:r>
        <w:rPr>
          <w:rFonts w:ascii="Times New Roman" w:eastAsia="Times New Roman" w:hAnsi="Times New Roman" w:cs="Times New Roman"/>
          <w:b/>
          <w:color w:val="000000"/>
        </w:rPr>
        <w:t>41 849,57</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euro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obiektów ogólnodostępnej i niekomercyjnej infrastruktury turystycznej, rekreacyjnej i kulturalnej – </w:t>
      </w:r>
      <w:r>
        <w:rPr>
          <w:rFonts w:ascii="Times New Roman" w:eastAsia="Times New Roman" w:hAnsi="Times New Roman" w:cs="Times New Roman"/>
          <w:color w:val="000000"/>
        </w:rPr>
        <w:t>jest to odpowiedź na zdiagnozowane braki w infrastrukturze turystycznej, rekreacyjnej i kulturalnej</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Ze względu na duże koszty realizacji tych operacji, gdyż są to przedsięwzięcia inwestycyjne, zaplanowano w uzgodnieniach z sektorem publicznym, że będzie ono realizowane przez nich. Uzasadnieniem realizacji tego przedsięwzięcia są potrzeby mieszkańców przedstawione w diagnozie, są one ponadto powiązane z przyjętym w LSR celem ogólnym do realizacji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rPr>
        <w:t xml:space="preserve">Lepsze wykorzystanie potencjału przyrodniczego i kulturowego w rozwoju regionu. Dofinansowanie 63,63 % - zaplanowana kwota w LSR - </w:t>
      </w:r>
      <w:r>
        <w:rPr>
          <w:rFonts w:ascii="Times New Roman" w:eastAsia="Times New Roman" w:hAnsi="Times New Roman" w:cs="Times New Roman"/>
          <w:b/>
          <w:bCs/>
          <w:color w:val="000000"/>
        </w:rPr>
        <w:t>107 3888,73</w:t>
      </w:r>
      <w:r>
        <w:rPr>
          <w:rFonts w:ascii="Times New Roman" w:eastAsia="Times New Roman" w:hAnsi="Times New Roman" w:cs="Times New Roman"/>
          <w:b/>
          <w:color w:val="000000"/>
          <w:lang w:eastAsia="en-US" w:bidi="en-US"/>
        </w:rPr>
        <w:t xml:space="preserve"> euro</w:t>
      </w:r>
      <w:r>
        <w:rPr>
          <w:rFonts w:ascii="Times New Roman" w:eastAsia="Times New Roman" w:hAnsi="Times New Roman" w:cs="Times New Roman"/>
          <w:color w:val="000000"/>
          <w:lang w:eastAsia="en-US" w:bidi="en-US"/>
        </w:rPr>
        <w:t xml:space="preserve"> (</w:t>
      </w:r>
      <w:r>
        <w:rPr>
          <w:rFonts w:ascii="TimesNewRomanPSMT" w:hAnsi="TimesNewRomanPSMT" w:cs="TimesNewRomanPSMT"/>
          <w:color w:val="000000"/>
        </w:rPr>
        <w:t>330.000 zł to dodatkowe środki finansowe, w związku ze zwiększonym budżetem działania LEADER)</w:t>
      </w:r>
    </w:p>
    <w:p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Budowa lub przebudowa publicznych dróg lokalnych – </w:t>
      </w:r>
      <w:r>
        <w:rPr>
          <w:rFonts w:ascii="Times New Roman" w:eastAsia="Times New Roman" w:hAnsi="Times New Roman" w:cs="Times New Roman"/>
          <w:color w:val="000000"/>
        </w:rPr>
        <w:t xml:space="preserve">jest to działanie przewidziane do realizacji wyłącznie przez sektor publiczny. Opisywane przedsięwzięcie było jedną z najczęściej wymienianych propozycji szans rozwoju obszaru LGD, która została wskazana w analizie SWOT. Dofinansowanie 63,63 % - zaplanowana kwota w LSR – </w:t>
      </w:r>
      <w:r w:rsidRPr="00225E6F">
        <w:rPr>
          <w:rFonts w:ascii="Times New Roman" w:eastAsia="Times New Roman" w:hAnsi="Times New Roman" w:cs="Times New Roman"/>
          <w:b/>
          <w:bCs/>
          <w:color w:val="000000"/>
        </w:rPr>
        <w:t>142 498,68 euro</w:t>
      </w:r>
      <w:r>
        <w:rPr>
          <w:rFonts w:ascii="Times New Roman" w:eastAsia="Times New Roman" w:hAnsi="Times New Roman" w:cs="Times New Roman"/>
          <w:color w:val="000000"/>
        </w:rPr>
        <w:t>.</w:t>
      </w:r>
    </w:p>
    <w:p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ofert edukacyjnych w regionie - </w:t>
      </w:r>
      <w:r>
        <w:rPr>
          <w:rFonts w:ascii="Times New Roman" w:eastAsia="Times New Roman" w:hAnsi="Times New Roman" w:cs="Times New Roman"/>
          <w:color w:val="000000"/>
        </w:rPr>
        <w:t xml:space="preserve">dotyczy projektu współpracy, w ramach którego zamierzamy </w:t>
      </w:r>
      <w:r>
        <w:rPr>
          <w:rFonts w:ascii="Times New Roman" w:hAnsi="Times New Roman" w:cs="Times New Roman"/>
          <w:color w:val="000000"/>
        </w:rPr>
        <w:t>utworzyć partnerstwo lokalne i ponadregionalne gotowe do wzajemnej współpracy, organizacji, promocji i profesjonalizacji swych działań w celu utworzenia przemyślanej, przystosowanej infrastrukturalnie i wyposażeniowo oraz atrakcyjnej oferty edukacyjnej dla mieszkańców i turystów</w:t>
      </w:r>
      <w:r>
        <w:rPr>
          <w:rFonts w:ascii="Times New Roman" w:eastAsia="Times New Roman" w:hAnsi="Times New Roman" w:cs="Times New Roman"/>
          <w:color w:val="000000"/>
        </w:rPr>
        <w:t xml:space="preserve">– koszt: </w:t>
      </w:r>
      <w:r>
        <w:rPr>
          <w:rFonts w:ascii="Times New Roman" w:eastAsia="Times New Roman" w:hAnsi="Times New Roman" w:cs="Times New Roman"/>
          <w:b/>
          <w:bCs/>
          <w:color w:val="000000"/>
          <w:lang w:val="en-US" w:eastAsia="en-US" w:bidi="en-US"/>
        </w:rPr>
        <w:t>133 144,16</w:t>
      </w:r>
      <w:r>
        <w:rPr>
          <w:rFonts w:ascii="Times New Roman" w:eastAsia="Times New Roman" w:hAnsi="Times New Roman" w:cs="Times New Roman"/>
          <w:color w:val="000000"/>
          <w:lang w:eastAsia="en-US" w:bidi="en-US"/>
        </w:rPr>
        <w:t xml:space="preserve"> euro, </w:t>
      </w:r>
      <w:r>
        <w:rPr>
          <w:rFonts w:ascii="Times New Roman" w:eastAsia="Times New Roman" w:hAnsi="Times New Roman" w:cs="Times New Roman"/>
          <w:color w:val="000000"/>
        </w:rPr>
        <w:t xml:space="preserve">dofinansowanie 100 %. </w:t>
      </w:r>
    </w:p>
    <w:p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Działania wzmacniające aktywność społeczność, Zachowanie dziedzictwa kulturowego regionu, Wzmocnienie potencjału organizacji pozarządowych – </w:t>
      </w:r>
      <w:r>
        <w:rPr>
          <w:rFonts w:ascii="Times New Roman" w:eastAsia="Times New Roman" w:hAnsi="Times New Roman" w:cs="Times New Roman"/>
          <w:color w:val="000000"/>
        </w:rPr>
        <w:t xml:space="preserve">realizacja inicjatyw lokalnych jest odpowiedzią na przedstawioną w diagnozie skalę niedoboru w zakresie aktywności społecznej. W ramach tego przedsięwzięcia realizowane będą działania w zakresie rozwoju ogólnodostępnej i niekomercyjnej infrastruktury turystycznej, rekreacyjnej lub kulturalnej, raz zachowania dziedzictwa lokalnego, a także wzmacniające kapitał społeczny. Granty będą dofinansowane w 100 %. Z udziału w grantach wykluczono sektor finansów publicznych. Pula środków na ten cel wynosi łącznie </w:t>
      </w:r>
      <w:r w:rsidR="001B2EFE">
        <w:rPr>
          <w:rFonts w:ascii="Times New Roman" w:eastAsia="Times New Roman" w:hAnsi="Times New Roman" w:cs="Times New Roman"/>
          <w:b/>
          <w:color w:val="000000"/>
        </w:rPr>
        <w:t xml:space="preserve">  </w:t>
      </w:r>
      <w:r w:rsidR="001B2EFE" w:rsidRPr="00217016">
        <w:rPr>
          <w:rFonts w:ascii="Times New Roman" w:eastAsia="Times New Roman" w:hAnsi="Times New Roman" w:cs="Times New Roman"/>
          <w:b/>
          <w:color w:val="000000"/>
        </w:rPr>
        <w:t>104</w:t>
      </w:r>
      <w:r w:rsidR="00973DAC" w:rsidRPr="00217016">
        <w:rPr>
          <w:rFonts w:ascii="Times New Roman" w:eastAsia="Times New Roman" w:hAnsi="Times New Roman" w:cs="Times New Roman"/>
          <w:b/>
          <w:color w:val="000000"/>
        </w:rPr>
        <w:t>.</w:t>
      </w:r>
      <w:r w:rsidR="001B2EFE" w:rsidRPr="00217016">
        <w:rPr>
          <w:rFonts w:ascii="Times New Roman" w:eastAsia="Times New Roman" w:hAnsi="Times New Roman" w:cs="Times New Roman"/>
          <w:b/>
          <w:color w:val="000000"/>
        </w:rPr>
        <w:t>238,01</w:t>
      </w:r>
      <w:r w:rsidRPr="00217016">
        <w:rPr>
          <w:rFonts w:ascii="Times New Roman" w:eastAsia="Times New Roman" w:hAnsi="Times New Roman" w:cs="Times New Roman"/>
          <w:b/>
          <w:color w:val="000000"/>
        </w:rPr>
        <w:t>euro</w:t>
      </w:r>
      <w:r>
        <w:rPr>
          <w:rFonts w:ascii="Times New Roman" w:eastAsia="Times New Roman" w:hAnsi="Times New Roman" w:cs="Times New Roman"/>
          <w:color w:val="000000"/>
        </w:rPr>
        <w:t>. Poziom dofinansowania będzie się mieścił w granicach 5-30 tysięcy zł.</w:t>
      </w:r>
    </w:p>
    <w:p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Podniesienie poziomu wiedzy z zakresu możliwości aplikowania o środki na Projekty Grantowe -  </w:t>
      </w:r>
      <w:r>
        <w:rPr>
          <w:rFonts w:ascii="Times New Roman" w:eastAsia="Times New Roman" w:hAnsi="Times New Roman" w:cs="Times New Roman"/>
          <w:color w:val="000000"/>
        </w:rPr>
        <w:t xml:space="preserve">jest ono ściśle związane z obsługą beneficjentów, którzy są zainteresowani uzyskaniem wsparcia w ramach projektów grantowych. W ramach tego działania pracownicy odpowiedzialni za udzielanie doradztwa będą prowadzili szkolenia i indywidualne doradztwo w ramach tzw. cyklu szkoleniowego. W związku z przyjęciem takiego modelu nie przewiduje się ponoszenia kosztów w tym zakresie. </w:t>
      </w:r>
    </w:p>
    <w:p w:rsidR="00294BD0" w:rsidRDefault="00294BD0">
      <w:pPr>
        <w:numPr>
          <w:ilvl w:val="0"/>
          <w:numId w:val="47"/>
        </w:numPr>
        <w:autoSpaceDE w:val="0"/>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color w:val="000000"/>
        </w:rPr>
        <w:t xml:space="preserve">Rozwój ofert turystycznych w regionie - </w:t>
      </w:r>
      <w:r>
        <w:rPr>
          <w:rFonts w:ascii="Times New Roman" w:eastAsia="Times New Roman" w:hAnsi="Times New Roman" w:cs="Times New Roman"/>
          <w:color w:val="000000"/>
        </w:rPr>
        <w:t xml:space="preserve">dotyczy projektu współpracy w ramach którego zamierzamy </w:t>
      </w:r>
      <w:r>
        <w:rPr>
          <w:rFonts w:ascii="Times New Roman" w:hAnsi="Times New Roman" w:cs="Times New Roman"/>
          <w:color w:val="000000"/>
        </w:rPr>
        <w:t>utworzyć partnerstwo lokalne i ponadregionalne gotowe do wzajemnej współpracy, organizacji, promocji i profesjonalizacji swych działań w celu utworzenia przemyślanych i przetestowanych pakietów turystyczno-rekreacyjnej oferty pobytowej dla mieszkańców i turystów</w:t>
      </w:r>
      <w:r>
        <w:rPr>
          <w:rFonts w:ascii="Times New Roman" w:eastAsia="Times New Roman" w:hAnsi="Times New Roman" w:cs="Times New Roman"/>
          <w:color w:val="000000"/>
        </w:rPr>
        <w:t xml:space="preserve"> – koszt </w:t>
      </w:r>
      <w:r w:rsidR="00417784" w:rsidRPr="00F600E6">
        <w:rPr>
          <w:rFonts w:ascii="Times New Roman" w:hAnsi="Times New Roman" w:cs="Times New Roman"/>
          <w:b/>
          <w:bCs/>
          <w:lang w:val="en-US" w:eastAsia="en-US" w:bidi="en-US"/>
        </w:rPr>
        <w:t>156005,84</w:t>
      </w:r>
      <w:r w:rsidR="00417784">
        <w:rPr>
          <w:rFonts w:ascii="Times New Roman" w:hAnsi="Times New Roman" w:cs="Times New Roman"/>
          <w:color w:val="FF0000"/>
          <w:sz w:val="16"/>
          <w:szCs w:val="16"/>
          <w:lang w:val="en-US" w:eastAsia="en-US" w:bidi="en-US"/>
        </w:rPr>
        <w:t xml:space="preserve"> </w:t>
      </w:r>
      <w:r>
        <w:rPr>
          <w:rFonts w:ascii="Times New Roman" w:eastAsia="Times New Roman" w:hAnsi="Times New Roman" w:cs="Times New Roman"/>
          <w:color w:val="000000"/>
        </w:rPr>
        <w:t xml:space="preserve">euro dofinansowanie 100 %. </w:t>
      </w:r>
    </w:p>
    <w:bookmarkEnd w:id="0"/>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Specyfikacja wskaźników przypisanych do przedsięwzięć, celów szczegółowych i celów ogólnych </w:t>
      </w:r>
    </w:p>
    <w:p w:rsidR="00294BD0" w:rsidRDefault="00294BD0">
      <w:pPr>
        <w:autoSpaceDE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Wskaźniki produktu takie jak:</w:t>
      </w:r>
    </w:p>
    <w:p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godzin udzielonego indywidualnego doradztwa z zakresu podejmowania działalności gospodarczej,</w:t>
      </w:r>
    </w:p>
    <w:p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zrealizowanych operacji polegających na utworzeniu nowego przedsiębiorstwa,</w:t>
      </w:r>
    </w:p>
    <w:p w:rsidR="00294BD0" w:rsidRDefault="00294BD0">
      <w:pPr>
        <w:numPr>
          <w:ilvl w:val="0"/>
          <w:numId w:val="5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Liczba zrealizowanych operacji polegających na rozwoju istniejącego przedsiębiorstwa,</w:t>
      </w:r>
    </w:p>
    <w:p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Liczba zawiązanych partnerstw gospodarczych,</w:t>
      </w:r>
    </w:p>
    <w:p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godzin udzielonego indywidualnego doradztwa z zakresu rozwijania działalności gospodarczej,</w:t>
      </w:r>
    </w:p>
    <w:p w:rsidR="00294BD0" w:rsidRDefault="00294BD0">
      <w:pPr>
        <w:autoSpaceDE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Bezpośrednio wpłyną na osiągnięcie celów szczegółowych takich jak:</w:t>
      </w:r>
    </w:p>
    <w:p w:rsidR="00294BD0" w:rsidRDefault="00294BD0">
      <w:pPr>
        <w:numPr>
          <w:ilvl w:val="0"/>
          <w:numId w:val="42"/>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Rozwój istniejących przedsiębiorstw i inicjowanie współpracy pomiędzy podmiotami gospodarczymi funkcjonującymi na obszarze LGD</w:t>
      </w:r>
    </w:p>
    <w:p w:rsidR="00294BD0" w:rsidRDefault="00294BD0">
      <w:pPr>
        <w:numPr>
          <w:ilvl w:val="0"/>
          <w:numId w:val="42"/>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Tworzenie warunków do zakładania przedsiębiorstw na obszarze LGD,</w:t>
      </w:r>
    </w:p>
    <w:p w:rsidR="00294BD0" w:rsidRDefault="00294BD0">
      <w:pPr>
        <w:spacing w:after="12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Te natomiast przełożą się na stopień osiągnięcia celu głównego jakim jest: </w:t>
      </w:r>
      <w:r>
        <w:rPr>
          <w:rFonts w:ascii="Times New Roman" w:eastAsia="Times New Roman" w:hAnsi="Times New Roman" w:cs="Times New Roman"/>
          <w:b/>
        </w:rPr>
        <w:t>Pobudzanie lokalnej przedsiębiorczości</w:t>
      </w:r>
    </w:p>
    <w:p w:rsidR="00294BD0" w:rsidRDefault="00294BD0">
      <w:pP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color w:val="000000"/>
        </w:rPr>
        <w:t>Natomiast wskaźniki produktu takie jak:</w:t>
      </w:r>
    </w:p>
    <w:p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zrealizowanych projektów współpracy,</w:t>
      </w:r>
    </w:p>
    <w:p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kilometrów wybudowanych/przebudowanych dróg,</w:t>
      </w:r>
    </w:p>
    <w:p w:rsidR="00294BD0" w:rsidRDefault="00294BD0">
      <w:pPr>
        <w:numPr>
          <w:ilvl w:val="0"/>
          <w:numId w:val="18"/>
        </w:numPr>
        <w:shd w:val="clear" w:color="auto" w:fill="FFFFFF"/>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nowych obiektów infrastruktury turystycznej, rekreacyjnej lub kulturalnej w miejscowościach: Małomice, Osieczów, Ławszowa, Wymiarki, Lutynka, Gozdnica, Czerna, Stawnik, Olbrachtów, Lubomyśl, Mirostowice Górne, Siodło, Miłowice, Biedrzychowice Dolne, Sieniawa Żarska, Węgliniec</w:t>
      </w:r>
    </w:p>
    <w:p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przebudowanych obiektów infrastruktury turystycznej, rekreacyjnej lub kulturalnej w miejscowościach: Witoszyn, Stary Żagań, Konin Żagański oraz Pieńsk</w:t>
      </w:r>
    </w:p>
    <w:p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 i Pieńsk</w:t>
      </w:r>
    </w:p>
    <w:p w:rsidR="00294BD0" w:rsidRDefault="00294BD0">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Bezpośrednio wpłyną na osiągnięcie celów szczegółowych takich jak:</w:t>
      </w:r>
    </w:p>
    <w:p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infrastruktury drogowej,</w:t>
      </w:r>
    </w:p>
    <w:p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infrastruktury turystycznej, rekreacyjnej lub kulturalnej,</w:t>
      </w:r>
    </w:p>
    <w:p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usług edukacyjnych,</w:t>
      </w:r>
    </w:p>
    <w:p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color w:val="000000"/>
        </w:rPr>
        <w:t>Te natomiast przełożą się na stopień osiągnięcia celu głównego jakim jest :</w:t>
      </w:r>
      <w:r>
        <w:rPr>
          <w:rFonts w:ascii="Times New Roman" w:eastAsia="Times New Roman" w:hAnsi="Times New Roman" w:cs="Times New Roman"/>
          <w:b/>
          <w:color w:val="000000"/>
        </w:rPr>
        <w:t xml:space="preserve"> Lepsze wykorzystanie potencjału przyrodniczego i kulturowego w rozwoju regionu</w:t>
      </w:r>
    </w:p>
    <w:p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Wskaźniki produktu takie jak:</w:t>
      </w:r>
    </w:p>
    <w:p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wydarzeń/imprez promujących zachowanie dziedzictwa obszaru LGD,</w:t>
      </w:r>
    </w:p>
    <w:p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Liczba godzin doradztwa udzielonego w ramach cyklu szkoleniowego,</w:t>
      </w:r>
    </w:p>
    <w:p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color w:val="000000"/>
        </w:rPr>
        <w:t>Liczba zrealizowanych projektów współpracy,</w:t>
      </w:r>
    </w:p>
    <w:p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wybudowanych obiektów ogólnodostępnej i niekomercyjnej infrastruktury turystycznej, rekreacyjnej lub kulturalnej,</w:t>
      </w:r>
    </w:p>
    <w:p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wydarzeń zorganizowanych przez organizacje pozarządowe,</w:t>
      </w:r>
    </w:p>
    <w:p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Bezpośrednio wpłyną na osiągnięcie celów szczegółowych takich jak:</w:t>
      </w:r>
    </w:p>
    <w:p w:rsidR="00294BD0" w:rsidRDefault="00294BD0">
      <w:pPr>
        <w:numPr>
          <w:ilvl w:val="0"/>
          <w:numId w:val="26"/>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Rozwój kulturalny i turystyczny regionu,</w:t>
      </w:r>
    </w:p>
    <w:p w:rsidR="00294BD0" w:rsidRDefault="00294BD0">
      <w:pPr>
        <w:numPr>
          <w:ilvl w:val="0"/>
          <w:numId w:val="26"/>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Zwiększenie zaangażowania i współpracy mieszkańców,</w:t>
      </w:r>
    </w:p>
    <w:p w:rsidR="00294BD0" w:rsidRDefault="00294BD0">
      <w:pPr>
        <w:autoSpaceDE w:val="0"/>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rPr>
        <w:t xml:space="preserve">Te natomiast przełożą się na stopień osiągnięcia celu głównego jakim jest: </w:t>
      </w:r>
      <w:r>
        <w:rPr>
          <w:rFonts w:ascii="Times New Roman" w:eastAsia="Times New Roman" w:hAnsi="Times New Roman" w:cs="Times New Roman"/>
          <w:b/>
        </w:rPr>
        <w:t>Wzrost kapitału społecznego na obszarze LGD</w:t>
      </w: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Źródła pozyskania danych do pomiaru </w:t>
      </w:r>
    </w:p>
    <w:p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Rejestr danych LGD;</w:t>
      </w:r>
    </w:p>
    <w:p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Sprawozdania końcowe z realizacji operacji;</w:t>
      </w:r>
    </w:p>
    <w:p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Dane dostępne w GUS (dotyczy wyłącznie celów ogólnych);</w:t>
      </w:r>
    </w:p>
    <w:p w:rsidR="00294BD0" w:rsidRDefault="00294BD0">
      <w:pPr>
        <w:numPr>
          <w:ilvl w:val="0"/>
          <w:numId w:val="24"/>
        </w:numPr>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Badania ewaluacyjne (dotyczy wyłącznie celów ogólnych);</w:t>
      </w: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Sposób i częstotliwość dokonywania pomiaru, uaktualniania danych</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Określone wskaźniki będą podlegały monitorowaniu i ewaluacji w sposób i z częstotliwością opisany w rozdziale poświęconym tym zagadnieniom. </w:t>
      </w:r>
    </w:p>
    <w:p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Aktualizowanie stopnia osiągania przyjętych wskaźników dokonywać będą pracownicy biura na podstawie ankiet monitorujących przesyłanych przez beneficjentów poszczególnych działań jak również na podstawie danych zastanych pozyskanych ze stron GUS /Bank Danych Lokalnych oraz własnych raportów i analiz. Propozycje zmian i aktualizacji zaproponowane przez Zarząd będą dyskutowane następnie i przyjmowane przez Walne Zebranie Członków Stowarzyszenia.</w:t>
      </w:r>
    </w:p>
    <w:p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Stan początkowy wskaźnika oraz wyjaśnienie sposobu jego ustalenia</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Wskaźnik początkowy ustalany był w następujący sposób:</w:t>
      </w:r>
    </w:p>
    <w:p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danych dostępnych w GUS, dla tych wskaźników za datę początkową przyjęto 2014 rok, ponieważ dla interesujących nas zestawień była to data graniczna;</w:t>
      </w:r>
    </w:p>
    <w:p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danych dostępnych w raporcie ewaluacyjnym, dla tych wskaźników za datę początkową przyjęto 2015 rok, ponieważ badanie ewaluacyjne prowadzone było w 2015 roku;</w:t>
      </w:r>
    </w:p>
    <w:p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b/>
        </w:rPr>
      </w:pPr>
      <w:r>
        <w:rPr>
          <w:rFonts w:ascii="Times New Roman" w:eastAsia="Times New Roman" w:hAnsi="Times New Roman" w:cs="Times New Roman"/>
        </w:rPr>
        <w:t>Dla pozostałych danych przyjęto wartość początkową 0 z uwagi na brak danych.</w:t>
      </w:r>
    </w:p>
    <w:p w:rsidR="00294BD0" w:rsidRDefault="00294BD0">
      <w:pPr>
        <w:numPr>
          <w:ilvl w:val="0"/>
          <w:numId w:val="73"/>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rPr>
        <w:t>Stan docelowy wskaźnika</w:t>
      </w:r>
      <w:r>
        <w:rPr>
          <w:rFonts w:ascii="Cambria" w:eastAsia="Times New Roman" w:hAnsi="Cambria" w:cs="Cambria"/>
          <w:b/>
          <w:sz w:val="24"/>
          <w:szCs w:val="24"/>
        </w:rPr>
        <w:t xml:space="preserve"> </w:t>
      </w:r>
      <w:r>
        <w:rPr>
          <w:rFonts w:ascii="Times New Roman" w:eastAsia="Times New Roman" w:hAnsi="Times New Roman" w:cs="Times New Roman"/>
          <w:b/>
        </w:rPr>
        <w:t>oraz wyjaśnienie sposobu jego ustalenia</w:t>
      </w:r>
    </w:p>
    <w:p w:rsidR="00294BD0" w:rsidRDefault="00294BD0">
      <w:pPr>
        <w:autoSpaceDE w:val="0"/>
        <w:spacing w:after="0" w:line="240" w:lineRule="auto"/>
        <w:ind w:left="284"/>
        <w:jc w:val="both"/>
        <w:rPr>
          <w:rFonts w:ascii="Times New Roman" w:eastAsia="Times New Roman" w:hAnsi="Times New Roman" w:cs="Times New Roman"/>
        </w:rPr>
        <w:sectPr w:rsidR="00294BD0">
          <w:footerReference w:type="default" r:id="rId22"/>
          <w:pgSz w:w="11906" w:h="16838"/>
          <w:pgMar w:top="851" w:right="1418" w:bottom="851" w:left="851" w:header="708" w:footer="708" w:gutter="0"/>
          <w:cols w:space="708"/>
          <w:docGrid w:linePitch="600" w:charSpace="36864"/>
        </w:sectPr>
      </w:pPr>
      <w:r>
        <w:rPr>
          <w:rFonts w:ascii="Times New Roman" w:eastAsia="Times New Roman" w:hAnsi="Times New Roman" w:cs="Times New Roman"/>
        </w:rPr>
        <w:t>Stan docelowy przyjętych w Strategii wskaźników oszacowany został głównie na podstawie przeprowadzonej analizy potrzeb i oczekiwań przedstawicieli poszczególnych sektorów tj. jednostek sektora publicznego, przedsiębiorców, mieszkańców i organizacji pozarządowych funkcjonujących na obszarze LGD. Element ten pozwolił z jednej strony na precyzyjne zaplanowanie poszczególnych działań natomiast z drugiej strony pozwolił na dobór wskaźników pozwalających na dokonanie pomiaru ich osiągnięcia. Ich  ostateczny poziom jest zatem wynikiem precyzyjnej diagnozy potrzeb, oczekiwań, możliwości finansowych oraz podziału środków na poszczególne cele Strategii.</w:t>
      </w:r>
    </w:p>
    <w:tbl>
      <w:tblPr>
        <w:tblW w:w="0" w:type="auto"/>
        <w:tblInd w:w="-15" w:type="dxa"/>
        <w:tblLayout w:type="fixed"/>
        <w:tblLook w:val="0000" w:firstRow="0" w:lastRow="0" w:firstColumn="0" w:lastColumn="0" w:noHBand="0" w:noVBand="0"/>
      </w:tblPr>
      <w:tblGrid>
        <w:gridCol w:w="754"/>
        <w:gridCol w:w="1797"/>
        <w:gridCol w:w="1939"/>
        <w:gridCol w:w="2412"/>
        <w:gridCol w:w="2942"/>
        <w:gridCol w:w="1645"/>
        <w:gridCol w:w="1279"/>
        <w:gridCol w:w="1060"/>
        <w:gridCol w:w="1554"/>
      </w:tblGrid>
      <w:tr w:rsidR="00294BD0">
        <w:tc>
          <w:tcPr>
            <w:tcW w:w="754"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797"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 Ogólny</w:t>
            </w: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120" w:line="240" w:lineRule="auto"/>
              <w:ind w:left="-71"/>
              <w:jc w:val="center"/>
            </w:pPr>
            <w:r>
              <w:rPr>
                <w:rFonts w:ascii="Times New Roman" w:eastAsia="Times New Roman" w:hAnsi="Times New Roman" w:cs="Times New Roman"/>
              </w:rPr>
              <w:t>Pobudzanie lokalnej przedsiębiorczości:</w:t>
            </w:r>
          </w:p>
        </w:tc>
      </w:tr>
      <w:tr w:rsidR="00294BD0">
        <w:tc>
          <w:tcPr>
            <w:tcW w:w="75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797" w:type="dxa"/>
            <w:vMerge w:val="restart"/>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Cele szczegółowe</w:t>
            </w: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rPr>
              <w:t>Tworzenie warunków do zakładania przedsiębiorstw na obszarze LGD,</w:t>
            </w:r>
          </w:p>
        </w:tc>
      </w:tr>
      <w:tr w:rsidR="00294BD0">
        <w:tc>
          <w:tcPr>
            <w:tcW w:w="75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797"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rPr>
              <w:t>Rozwój istniejących przedsiębiorstw i inicjowanie współpracy pomiędzy podmiotami gospodarczymi funkcjonującymi na obszarze LGD</w:t>
            </w:r>
          </w:p>
        </w:tc>
      </w:tr>
      <w:tr w:rsidR="00294BD0">
        <w:tc>
          <w:tcPr>
            <w:tcW w:w="2551"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4351" w:type="dxa"/>
            <w:gridSpan w:val="2"/>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2942"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645"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2014</w:t>
            </w:r>
          </w:p>
        </w:tc>
        <w:tc>
          <w:tcPr>
            <w:tcW w:w="1279"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rPr>
          <w:trHeight w:val="662"/>
        </w:trPr>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W1.0</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Spadek liczby bezrobotnych zarejestrowanych na terenach objętych działalnością LGD</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3201</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3177</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Dane GUS</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W1.0</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liczby podmiotów gospodarczych wpisanych do rejestru REGON na 10 tysięcy mieszkańców</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7581</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7591</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Dane GUS</w:t>
            </w:r>
          </w:p>
        </w:tc>
      </w:tr>
      <w:tr w:rsidR="00294BD0">
        <w:tc>
          <w:tcPr>
            <w:tcW w:w="2551"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4351" w:type="dxa"/>
            <w:gridSpan w:val="2"/>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rezultatu dla celów szczegółowych</w:t>
            </w:r>
          </w:p>
        </w:tc>
        <w:tc>
          <w:tcPr>
            <w:tcW w:w="2942"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645"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2015</w:t>
            </w:r>
          </w:p>
        </w:tc>
        <w:tc>
          <w:tcPr>
            <w:tcW w:w="1279"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W.1.1</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nowoutworzonych miejsc pracy w wyniku wsparcia nowoutworzonych przedsiębiorstw w przeliczeniu na pełne etaty średnioroczne</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W.1.1</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uczestników szkolenia z zakresu podejmowania działalności gospodarczej, organizowanych przez biuro LGD </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18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Dane zgromadzone przez LGD</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nowoutworzonych miejsc pracy w wyniku wsparcia rozwoju istniejących przedsiębiorstw w przeliczeniu na pełne etaty średnioroczne</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Dane zgromadzone przez LGD</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uczestników szkolenia z zakresu rozwoju istniejącego przedsiębiorstwa, organizowanych przez biuro LGD</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FFFFFF"/>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18</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Dane zgromadzone przez LGD</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przedsiębiorców zaangażowanych we współpracę gospodarczą</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trPr>
          <w:trHeight w:val="330"/>
        </w:trPr>
        <w:tc>
          <w:tcPr>
            <w:tcW w:w="2551" w:type="dxa"/>
            <w:gridSpan w:val="2"/>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939"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2412"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Sposób realizacji (konkurs, projekt grantowy, operacja własna, projekt współpracy, aktywizacja</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480"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produktu</w:t>
            </w:r>
          </w:p>
          <w:p w:rsidR="00294BD0" w:rsidRDefault="00294BD0">
            <w:pPr>
              <w:spacing w:after="0" w:line="240" w:lineRule="auto"/>
              <w:jc w:val="center"/>
              <w:rPr>
                <w:rFonts w:ascii="Times New Roman" w:eastAsia="Times New Roman" w:hAnsi="Times New Roman" w:cs="Times New Roman"/>
              </w:rPr>
            </w:pPr>
          </w:p>
        </w:tc>
      </w:tr>
      <w:tr w:rsidR="00294BD0">
        <w:tc>
          <w:tcPr>
            <w:tcW w:w="2551"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939"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412"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942"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w:t>
            </w:r>
          </w:p>
        </w:tc>
        <w:tc>
          <w:tcPr>
            <w:tcW w:w="1645"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2339" w:type="dxa"/>
            <w:gridSpan w:val="2"/>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Wartość</w:t>
            </w:r>
          </w:p>
          <w:p w:rsidR="00294BD0" w:rsidRDefault="00294BD0">
            <w:pPr>
              <w:spacing w:after="0" w:line="240" w:lineRule="auto"/>
              <w:jc w:val="center"/>
              <w:rPr>
                <w:rFonts w:ascii="Times New Roman" w:eastAsia="Times New Roman" w:hAnsi="Times New Roman" w:cs="Times New Roman"/>
              </w:rPr>
            </w:pP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rPr>
          <w:trHeight w:val="470"/>
        </w:trPr>
        <w:tc>
          <w:tcPr>
            <w:tcW w:w="2551"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939"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412"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942"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64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Początkowa rok 2015</w:t>
            </w:r>
          </w:p>
        </w:tc>
        <w:tc>
          <w:tcPr>
            <w:tcW w:w="1060"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Końcowa rok 2020</w:t>
            </w:r>
          </w:p>
        </w:tc>
        <w:tc>
          <w:tcPr>
            <w:tcW w:w="1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9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Podniesienie poziomu wiedzy z zakresu możliwości aplikowania o środki na działania związane z podejmowaniem działalności gospodarczej</w:t>
            </w:r>
          </w:p>
        </w:tc>
        <w:tc>
          <w:tcPr>
            <w:tcW w:w="193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osoby fizyczne, </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Koszty bieżące i</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Aktywizacja</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godzin  udzielonego indywidualnego doradztwa z zakresu podejmowania działalności gospodarczej</w:t>
            </w:r>
          </w:p>
          <w:p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godzina</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179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Powstanie nowych przedsiębiorstw</w:t>
            </w:r>
          </w:p>
        </w:tc>
        <w:tc>
          <w:tcPr>
            <w:tcW w:w="193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fizyczne, 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zrealizowanych operacji polegających na utworzeniu nowego przedsiębiorstwa </w:t>
            </w:r>
          </w:p>
          <w:p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strike/>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rsidR="00294BD0" w:rsidRPr="00BC1460" w:rsidRDefault="00294BD0">
            <w:pPr>
              <w:spacing w:after="0" w:line="240" w:lineRule="auto"/>
              <w:jc w:val="center"/>
              <w:rPr>
                <w:rFonts w:ascii="Times New Roman" w:eastAsia="Times New Roman" w:hAnsi="Times New Roman" w:cs="Times New Roman"/>
                <w:strike/>
                <w:color w:val="FF0000"/>
              </w:rPr>
            </w:pPr>
          </w:p>
          <w:p w:rsidR="00294BD0" w:rsidRPr="001A4942" w:rsidRDefault="00294BD0">
            <w:pPr>
              <w:spacing w:after="0" w:line="240" w:lineRule="auto"/>
              <w:jc w:val="center"/>
              <w:rPr>
                <w:rFonts w:ascii="Times New Roman" w:eastAsia="Times New Roman" w:hAnsi="Times New Roman" w:cs="Times New Roman"/>
              </w:rPr>
            </w:pPr>
            <w:r w:rsidRPr="001A4942">
              <w:rPr>
                <w:rFonts w:ascii="Times New Roman" w:eastAsia="Times New Roman" w:hAnsi="Times New Roman" w:cs="Times New Roman"/>
                <w:strike/>
              </w:rPr>
              <w:t>23</w:t>
            </w:r>
            <w:r w:rsidR="001A4942">
              <w:rPr>
                <w:rFonts w:ascii="Times New Roman" w:eastAsia="Times New Roman" w:hAnsi="Times New Roman" w:cs="Times New Roman"/>
                <w:strike/>
              </w:rPr>
              <w:t xml:space="preserve"> </w:t>
            </w:r>
            <w:r w:rsidR="001A4942" w:rsidRPr="001A4942">
              <w:rPr>
                <w:rFonts w:ascii="Times New Roman" w:eastAsia="Times New Roman" w:hAnsi="Times New Roman" w:cs="Times New Roman"/>
                <w:color w:val="FF0000"/>
              </w:rPr>
              <w:t>46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o zakończonych projektach (zrealizowane płatności końcowe), dane z wniosków, dane otrzymane od beneficjentów</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79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Rozwój istniejących przedsiębiorstw</w:t>
            </w:r>
          </w:p>
        </w:tc>
        <w:tc>
          <w:tcPr>
            <w:tcW w:w="193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Przedsiębiorcy, osoby z grup defaworyzowanych </w:t>
            </w:r>
          </w:p>
        </w:tc>
        <w:tc>
          <w:tcPr>
            <w:tcW w:w="241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zrealizowanych operacji polegających na rozwoju istniejącego przedsiębiorstw </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o zakończonych projektach (zrealizowane płatności końcowe)</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79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Współpraca podmiotów gospodarczych</w:t>
            </w:r>
          </w:p>
        </w:tc>
        <w:tc>
          <w:tcPr>
            <w:tcW w:w="193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Przedsiębiorcy, organizacje pozarządowe prowadzące działalność gospodarczą</w:t>
            </w:r>
          </w:p>
        </w:tc>
        <w:tc>
          <w:tcPr>
            <w:tcW w:w="241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zawiązanych partnerstw gospodarczych</w:t>
            </w: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179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Podniesienie poziomu wiedzy z zakresu możliwości aplikowania o środki na działania związane z rozwojem działalności gospodarczej</w:t>
            </w:r>
          </w:p>
        </w:tc>
        <w:tc>
          <w:tcPr>
            <w:tcW w:w="193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fizyczne, przedsiębiorcy,</w:t>
            </w: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Koszty bieżące i</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Aktywizacja</w:t>
            </w:r>
          </w:p>
        </w:tc>
        <w:tc>
          <w:tcPr>
            <w:tcW w:w="2942"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godzin  udzielonego indywidualnego doradztwa z zakresu rozwijania działalności gospodarczej</w:t>
            </w:r>
          </w:p>
          <w:p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godzina</w:t>
            </w:r>
          </w:p>
        </w:tc>
        <w:tc>
          <w:tcPr>
            <w:tcW w:w="127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tc>
          <w:tcPr>
            <w:tcW w:w="6902" w:type="dxa"/>
            <w:gridSpan w:val="4"/>
            <w:tcBorders>
              <w:top w:val="single" w:sz="4" w:space="0" w:color="000000"/>
              <w:left w:val="single" w:sz="4" w:space="0" w:color="000000"/>
              <w:bottom w:val="single" w:sz="4" w:space="0" w:color="000000"/>
            </w:tcBorders>
            <w:shd w:val="clear" w:color="auto" w:fill="C45911"/>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SUMA</w:t>
            </w:r>
          </w:p>
        </w:tc>
        <w:tc>
          <w:tcPr>
            <w:tcW w:w="8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r>
    </w:tbl>
    <w:p w:rsidR="00294BD0" w:rsidRDefault="00294BD0">
      <w:pPr>
        <w:spacing w:after="0"/>
        <w:ind w:left="426"/>
        <w:rPr>
          <w:rFonts w:ascii="Times New Roman" w:eastAsia="Times New Roman" w:hAnsi="Times New Roman" w:cs="Times New Roman"/>
          <w:color w:val="000000"/>
          <w:sz w:val="20"/>
          <w:szCs w:val="20"/>
        </w:rPr>
      </w:pPr>
      <w:r>
        <w:rPr>
          <w:rFonts w:ascii="Times New Roman" w:hAnsi="Times New Roman" w:cs="Times New Roman"/>
          <w:i/>
          <w:color w:val="000000"/>
        </w:rPr>
        <w:t>(Tabela nr 24 – Cele i Wskaźniki dla 1 celu ogólnego tj. Pobudzanie lokalnej przedsiębiorczości - opracowanie własne LGD)</w:t>
      </w:r>
    </w:p>
    <w:p w:rsidR="00294BD0" w:rsidRDefault="00294BD0">
      <w:pPr>
        <w:spacing w:after="0" w:line="240" w:lineRule="auto"/>
        <w:rPr>
          <w:rFonts w:ascii="Times New Roman" w:eastAsia="Times New Roman" w:hAnsi="Times New Roman" w:cs="Times New Roman"/>
          <w:color w:val="000000"/>
          <w:sz w:val="20"/>
          <w:szCs w:val="20"/>
        </w:rPr>
      </w:pPr>
    </w:p>
    <w:p w:rsidR="00294BD0" w:rsidRDefault="00294BD0">
      <w:pPr>
        <w:spacing w:after="0" w:line="240" w:lineRule="auto"/>
        <w:rPr>
          <w:rFonts w:ascii="Times New Roman" w:eastAsia="Times New Roman" w:hAnsi="Times New Roman" w:cs="Times New Roman"/>
          <w:color w:val="000000"/>
          <w:sz w:val="20"/>
          <w:szCs w:val="20"/>
        </w:rPr>
      </w:pPr>
    </w:p>
    <w:tbl>
      <w:tblPr>
        <w:tblW w:w="0" w:type="auto"/>
        <w:tblInd w:w="-15" w:type="dxa"/>
        <w:tblLayout w:type="fixed"/>
        <w:tblLook w:val="0000" w:firstRow="0" w:lastRow="0" w:firstColumn="0" w:lastColumn="0" w:noHBand="0" w:noVBand="0"/>
      </w:tblPr>
      <w:tblGrid>
        <w:gridCol w:w="755"/>
        <w:gridCol w:w="1873"/>
        <w:gridCol w:w="1996"/>
        <w:gridCol w:w="1470"/>
        <w:gridCol w:w="3884"/>
        <w:gridCol w:w="1330"/>
        <w:gridCol w:w="1300"/>
        <w:gridCol w:w="1081"/>
        <w:gridCol w:w="1693"/>
      </w:tblGrid>
      <w:tr w:rsidR="00294BD0">
        <w:tc>
          <w:tcPr>
            <w:tcW w:w="755"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873"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 Ogólny</w:t>
            </w: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120" w:line="240" w:lineRule="auto"/>
              <w:ind w:left="-71"/>
              <w:jc w:val="center"/>
            </w:pPr>
            <w:r>
              <w:rPr>
                <w:rFonts w:ascii="Times New Roman" w:eastAsia="Times New Roman" w:hAnsi="Times New Roman" w:cs="Times New Roman"/>
                <w:color w:val="000000"/>
              </w:rPr>
              <w:t>Lepsze wykorzystanie potencjału przyrodniczego i kulturowego w rozwoju regionu</w:t>
            </w:r>
          </w:p>
        </w:tc>
      </w:tr>
      <w:tr w:rsidR="00294BD0">
        <w:tc>
          <w:tcPr>
            <w:tcW w:w="755"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873" w:type="dxa"/>
            <w:vMerge w:val="restart"/>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Cele szczegółowe</w:t>
            </w: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color w:val="000000"/>
              </w:rPr>
              <w:t>Rozwój infrastruktury drogowej</w:t>
            </w:r>
          </w:p>
        </w:tc>
      </w:tr>
      <w:tr w:rsidR="00294BD0">
        <w:tc>
          <w:tcPr>
            <w:tcW w:w="755"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87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120" w:line="240" w:lineRule="auto"/>
              <w:jc w:val="center"/>
            </w:pPr>
            <w:r>
              <w:rPr>
                <w:rFonts w:ascii="Times New Roman" w:eastAsia="Times New Roman" w:hAnsi="Times New Roman" w:cs="Times New Roman"/>
                <w:color w:val="000000"/>
              </w:rPr>
              <w:t>Rozwój infrastruktury turystycznej, rekreacyjnej lub kulturalnej</w:t>
            </w:r>
          </w:p>
        </w:tc>
      </w:tr>
      <w:tr w:rsidR="00294BD0">
        <w:tc>
          <w:tcPr>
            <w:tcW w:w="755"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87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120" w:line="240" w:lineRule="auto"/>
              <w:jc w:val="center"/>
            </w:pPr>
            <w:r>
              <w:rPr>
                <w:rFonts w:ascii="Times New Roman" w:eastAsia="Times New Roman" w:hAnsi="Times New Roman" w:cs="Times New Roman"/>
                <w:color w:val="000000"/>
              </w:rPr>
              <w:t>Rozwój usług edukacyjnych</w:t>
            </w:r>
          </w:p>
        </w:tc>
      </w:tr>
      <w:tr w:rsidR="00294BD0">
        <w:tc>
          <w:tcPr>
            <w:tcW w:w="2628"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3466" w:type="dxa"/>
            <w:gridSpan w:val="2"/>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oddziaływania dla celu ogólnego</w:t>
            </w:r>
          </w:p>
        </w:tc>
        <w:tc>
          <w:tcPr>
            <w:tcW w:w="3884"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133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Stan początkowy na rok 2014/2015</w:t>
            </w:r>
          </w:p>
        </w:tc>
        <w:tc>
          <w:tcPr>
            <w:tcW w:w="130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Plan do roku 2022</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noclegów w gminach  wchodzących w skład LGD</w:t>
            </w:r>
          </w:p>
          <w:p w:rsidR="00294BD0" w:rsidRDefault="00294BD0">
            <w:pPr>
              <w:spacing w:after="0" w:line="240" w:lineRule="auto"/>
              <w:jc w:val="center"/>
              <w:rPr>
                <w:rFonts w:ascii="Times New Roman" w:eastAsia="Times New Roman" w:hAnsi="Times New Roman" w:cs="Times New Roman"/>
                <w:color w:val="000000"/>
              </w:rPr>
            </w:pP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23407</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23600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GUS</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odsetka mieszkańców gmin objętych działalnością LGD, które słyszały o działaniach podejmowanych przez Stowarzyszenie Lokalna Grupa Działania Bory Dolnośląskie</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procent</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Badanie ewaluacyjne</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mieszkańców gmin objętych działalnością LGD , u których zwiększył się poziom wiedzy o regionie Bory Dolnośląskie</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Rejestr danych LGD</w:t>
            </w:r>
          </w:p>
        </w:tc>
      </w:tr>
      <w:tr w:rsidR="00294BD0">
        <w:tc>
          <w:tcPr>
            <w:tcW w:w="2628"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3466" w:type="dxa"/>
            <w:gridSpan w:val="2"/>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rezultatu dla celów szczegółowych</w:t>
            </w:r>
          </w:p>
        </w:tc>
        <w:tc>
          <w:tcPr>
            <w:tcW w:w="388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1330"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Stan początkowy na rok 2015</w:t>
            </w:r>
          </w:p>
        </w:tc>
        <w:tc>
          <w:tcPr>
            <w:tcW w:w="1300"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Plan do roku 2022</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W.2.1</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nowej lub przebudowanej infrastruktury drogowej łączącej obiekty użyteczności publicznej z siecią dróg publicznych albo skracających dystans lub czas dojazdu do nich</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W.2.2</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mieszkańców gmin objętych działalnością LGD korzystających z nowej lub przebudowanej infrastruktury turystycznej, rekreacyjnej lub kulturalnej służącej integracji społecznej</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15 268</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16 268</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W.2.3</w:t>
            </w:r>
          </w:p>
        </w:tc>
        <w:tc>
          <w:tcPr>
            <w:tcW w:w="533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uczniów, którzy skorzystali z nowej oferty edukacyjnej</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zgromadzone przez LGD</w:t>
            </w:r>
          </w:p>
        </w:tc>
      </w:tr>
      <w:tr w:rsidR="00294BD0">
        <w:tc>
          <w:tcPr>
            <w:tcW w:w="2628" w:type="dxa"/>
            <w:gridSpan w:val="2"/>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Przedsięwzięcia</w:t>
            </w:r>
          </w:p>
        </w:tc>
        <w:tc>
          <w:tcPr>
            <w:tcW w:w="1996"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Grupy docelowe</w:t>
            </w:r>
          </w:p>
        </w:tc>
        <w:tc>
          <w:tcPr>
            <w:tcW w:w="1470"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Sposób realizacji (konkurs, projekt grantowy, operacja własna, projekt współpracy, aktywizacja </w:t>
            </w:r>
          </w:p>
        </w:tc>
        <w:tc>
          <w:tcPr>
            <w:tcW w:w="9288"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produktu</w:t>
            </w:r>
          </w:p>
          <w:p w:rsidR="00294BD0" w:rsidRDefault="00294BD0">
            <w:pPr>
              <w:spacing w:after="0" w:line="240" w:lineRule="auto"/>
              <w:jc w:val="center"/>
              <w:rPr>
                <w:rFonts w:ascii="Times New Roman" w:eastAsia="Times New Roman" w:hAnsi="Times New Roman" w:cs="Times New Roman"/>
                <w:color w:val="000000"/>
              </w:rPr>
            </w:pPr>
          </w:p>
        </w:tc>
      </w:tr>
      <w:tr w:rsidR="00294BD0">
        <w:tc>
          <w:tcPr>
            <w:tcW w:w="2628"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996"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3884"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nazwa</w:t>
            </w:r>
          </w:p>
        </w:tc>
        <w:tc>
          <w:tcPr>
            <w:tcW w:w="1330"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2381" w:type="dxa"/>
            <w:gridSpan w:val="2"/>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Wartość</w:t>
            </w:r>
          </w:p>
          <w:p w:rsidR="00294BD0" w:rsidRDefault="00294BD0">
            <w:pPr>
              <w:spacing w:after="0" w:line="240" w:lineRule="auto"/>
              <w:jc w:val="center"/>
              <w:rPr>
                <w:rFonts w:ascii="Times New Roman" w:eastAsia="Times New Roman" w:hAnsi="Times New Roman" w:cs="Times New Roman"/>
                <w:color w:val="000000"/>
              </w:rPr>
            </w:pP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trPr>
          <w:trHeight w:val="470"/>
        </w:trPr>
        <w:tc>
          <w:tcPr>
            <w:tcW w:w="2628"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996"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388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33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Początkowa rok 2015</w:t>
            </w:r>
          </w:p>
        </w:tc>
        <w:tc>
          <w:tcPr>
            <w:tcW w:w="1081"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Końcowa rok 2020</w:t>
            </w: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r>
      <w:tr w:rsidR="00294BD0">
        <w:trPr>
          <w:trHeight w:val="1827"/>
        </w:trPr>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w:t>
            </w:r>
          </w:p>
        </w:tc>
        <w:tc>
          <w:tcPr>
            <w:tcW w:w="187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Budowa lub przebudowa publicznych  dróg lokalnych</w:t>
            </w:r>
          </w:p>
        </w:tc>
        <w:tc>
          <w:tcPr>
            <w:tcW w:w="1996"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Samorządy, osoby z grup defaworyzowanych</w:t>
            </w:r>
          </w:p>
        </w:tc>
        <w:tc>
          <w:tcPr>
            <w:tcW w:w="147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kilometrów wybudowanych/przebudowanych dróg</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km</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81"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 (wnioski o płatność)</w:t>
            </w:r>
          </w:p>
        </w:tc>
      </w:tr>
      <w:tr w:rsidR="00294BD0">
        <w:trPr>
          <w:trHeight w:val="1118"/>
        </w:trPr>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2.2.1</w:t>
            </w:r>
          </w:p>
        </w:tc>
        <w:tc>
          <w:tcPr>
            <w:tcW w:w="187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Rozwój obiektów ogólnodostępnej i niekomercyjnej infrastruktury turystycznej, </w:t>
            </w:r>
            <w:r>
              <w:rPr>
                <w:rFonts w:ascii="Times New Roman" w:eastAsia="Times New Roman" w:hAnsi="Times New Roman" w:cs="Times New Roman"/>
              </w:rPr>
              <w:t>rekreacyjnej lub kulturalnej</w:t>
            </w:r>
          </w:p>
        </w:tc>
        <w:tc>
          <w:tcPr>
            <w:tcW w:w="1996"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Jednostki JST, organizacje pozarządowe</w:t>
            </w:r>
          </w:p>
        </w:tc>
        <w:tc>
          <w:tcPr>
            <w:tcW w:w="147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nowych obiektów infrastruktury turystycznej, rekreacyjnej lub kulturalnej w miejscowościach: Małomice Osieczów, Ławszowa, Wymiarki, Lutynka ,Gozdnica,  Czerna, Stawnik, Olbrachtów, Lubomyśl, Mirostowice Górne, Siodło, Miłowice, Biedrzychowice Dolne Sieniawa Żarska, Węgliniec, Przewóz, Potok, Stary Żagań, </w:t>
            </w:r>
            <w:r>
              <w:rPr>
                <w:rFonts w:ascii="Times New Roman" w:hAnsi="Times New Roman" w:cs="Times New Roman"/>
                <w:color w:val="000000"/>
                <w:lang w:eastAsia="en-US" w:bidi="en-US"/>
              </w:rPr>
              <w:t>Jagodzin, Stary Węgliniec, Mirostowice Dolne, Dłużyna Górna, gm. Iłowa, Silno Małe, Tomisław</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przebudowanych obiektów infrastruktury turystycznej, rekreacyjnej lub kulturalnej w miejscowościach: Witoszyn, Stary Żagań, Konin Żagański, Pieńsk</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 Pieńsk i Gozdnica</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sztuka </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sztuka </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strike/>
                <w:color w:val="000000"/>
              </w:rPr>
            </w:pPr>
          </w:p>
        </w:tc>
        <w:tc>
          <w:tcPr>
            <w:tcW w:w="1081"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strike/>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294BD0" w:rsidRDefault="00294BD0">
            <w:pPr>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 (wnioski o płatność)</w:t>
            </w:r>
          </w:p>
        </w:tc>
      </w:tr>
      <w:tr w:rsidR="00294BD0">
        <w:tc>
          <w:tcPr>
            <w:tcW w:w="75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w:t>
            </w:r>
          </w:p>
        </w:tc>
        <w:tc>
          <w:tcPr>
            <w:tcW w:w="187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Rozwój ofert edukacyjnych w regionie</w:t>
            </w:r>
          </w:p>
        </w:tc>
        <w:tc>
          <w:tcPr>
            <w:tcW w:w="1996"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LGD</w:t>
            </w:r>
          </w:p>
        </w:tc>
        <w:tc>
          <w:tcPr>
            <w:tcW w:w="147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Projekty Współpracy</w:t>
            </w:r>
          </w:p>
        </w:tc>
        <w:tc>
          <w:tcPr>
            <w:tcW w:w="388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zrealizowanych projektów współpracy</w:t>
            </w:r>
          </w:p>
        </w:tc>
        <w:tc>
          <w:tcPr>
            <w:tcW w:w="133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30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81"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tc>
          <w:tcPr>
            <w:tcW w:w="6094" w:type="dxa"/>
            <w:gridSpan w:val="4"/>
            <w:tcBorders>
              <w:top w:val="single" w:sz="4" w:space="0" w:color="000000"/>
              <w:left w:val="single" w:sz="4" w:space="0" w:color="000000"/>
              <w:bottom w:val="single" w:sz="4" w:space="0" w:color="000000"/>
            </w:tcBorders>
            <w:shd w:val="clear" w:color="auto" w:fill="C45911"/>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SUMA</w:t>
            </w:r>
          </w:p>
        </w:tc>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r>
    </w:tbl>
    <w:p w:rsidR="00294BD0" w:rsidRDefault="00294BD0">
      <w:pPr>
        <w:spacing w:after="0"/>
        <w:ind w:left="426"/>
        <w:rPr>
          <w:rFonts w:ascii="Times New Roman" w:eastAsia="Times New Roman" w:hAnsi="Times New Roman" w:cs="Times New Roman"/>
          <w:sz w:val="20"/>
          <w:szCs w:val="20"/>
        </w:rPr>
      </w:pPr>
      <w:r>
        <w:rPr>
          <w:rFonts w:ascii="Times New Roman" w:hAnsi="Times New Roman" w:cs="Times New Roman"/>
          <w:i/>
        </w:rPr>
        <w:t xml:space="preserve">(Tabela nr 25 – Cele i Wskaźniki dla 2 celu ogólnego tj. </w:t>
      </w:r>
      <w:r>
        <w:rPr>
          <w:rFonts w:ascii="Times New Roman" w:eastAsia="Times New Roman" w:hAnsi="Times New Roman" w:cs="Times New Roman"/>
          <w:i/>
        </w:rPr>
        <w:t>Lepsze wykorzystanie potencjału przyrodniczego i kulturowego w rozwoju regionu</w:t>
      </w:r>
      <w:r>
        <w:rPr>
          <w:rFonts w:ascii="Times New Roman" w:hAnsi="Times New Roman" w:cs="Times New Roman"/>
          <w:i/>
        </w:rPr>
        <w:t xml:space="preserve"> - opracowanie własne LGD)</w:t>
      </w:r>
    </w:p>
    <w:p w:rsidR="00294BD0" w:rsidRDefault="00294BD0">
      <w:pPr>
        <w:spacing w:after="0" w:line="240" w:lineRule="auto"/>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754"/>
        <w:gridCol w:w="2109"/>
        <w:gridCol w:w="1690"/>
        <w:gridCol w:w="1887"/>
        <w:gridCol w:w="2443"/>
        <w:gridCol w:w="1427"/>
        <w:gridCol w:w="1340"/>
        <w:gridCol w:w="1121"/>
        <w:gridCol w:w="2611"/>
      </w:tblGrid>
      <w:tr w:rsidR="00294BD0">
        <w:tc>
          <w:tcPr>
            <w:tcW w:w="754"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109"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 Ogólny</w:t>
            </w: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120" w:line="240" w:lineRule="auto"/>
              <w:jc w:val="center"/>
            </w:pPr>
            <w:r>
              <w:rPr>
                <w:rFonts w:ascii="Times New Roman" w:eastAsia="Times New Roman" w:hAnsi="Times New Roman" w:cs="Times New Roman"/>
              </w:rPr>
              <w:t>Wzrost kapitału społecznego na obszarze LGD</w:t>
            </w:r>
          </w:p>
        </w:tc>
      </w:tr>
      <w:tr w:rsidR="00294BD0">
        <w:tc>
          <w:tcPr>
            <w:tcW w:w="75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2109" w:type="dxa"/>
            <w:vMerge w:val="restart"/>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Cele szczegółowe</w:t>
            </w: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120" w:line="240" w:lineRule="auto"/>
              <w:jc w:val="center"/>
            </w:pPr>
            <w:r>
              <w:rPr>
                <w:rFonts w:ascii="Times New Roman" w:eastAsia="Times New Roman" w:hAnsi="Times New Roman" w:cs="Times New Roman"/>
              </w:rPr>
              <w:t>Rozwój kulturalny i turystyczny regionu</w:t>
            </w:r>
          </w:p>
        </w:tc>
      </w:tr>
      <w:tr w:rsidR="00294BD0">
        <w:tc>
          <w:tcPr>
            <w:tcW w:w="754"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2109"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120" w:line="240" w:lineRule="auto"/>
              <w:jc w:val="center"/>
            </w:pPr>
            <w:r>
              <w:rPr>
                <w:rFonts w:ascii="Times New Roman" w:eastAsia="Times New Roman" w:hAnsi="Times New Roman" w:cs="Times New Roman"/>
              </w:rPr>
              <w:t>Zwiększenie zaangażowania i współpracy mieszkańców</w:t>
            </w:r>
          </w:p>
        </w:tc>
      </w:tr>
      <w:tr w:rsidR="00294BD0">
        <w:tc>
          <w:tcPr>
            <w:tcW w:w="2863"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3577" w:type="dxa"/>
            <w:gridSpan w:val="2"/>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2443"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427"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2014/2015</w:t>
            </w:r>
          </w:p>
        </w:tc>
        <w:tc>
          <w:tcPr>
            <w:tcW w:w="1340" w:type="dxa"/>
            <w:tcBorders>
              <w:top w:val="single" w:sz="4" w:space="0" w:color="000000"/>
              <w:left w:val="single" w:sz="4" w:space="0" w:color="000000"/>
              <w:bottom w:val="single" w:sz="4" w:space="0" w:color="000000"/>
            </w:tcBorders>
            <w:shd w:val="clear" w:color="auto" w:fill="FFFF00"/>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W3.0</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odsetka mieszkańców deklarujących chęć zaangażowania się na rzecz społeczności lokalnej</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Procent</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Badania ewaluacyjne</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W3.0</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liczby organizacji pozarządowych w przeliczeniu na 10 tysięcy mieszkańców</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GUS</w:t>
            </w:r>
          </w:p>
        </w:tc>
      </w:tr>
      <w:tr w:rsidR="00294BD0">
        <w:trPr>
          <w:trHeight w:val="624"/>
        </w:trPr>
        <w:tc>
          <w:tcPr>
            <w:tcW w:w="2863"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3577" w:type="dxa"/>
            <w:gridSpan w:val="2"/>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rezultatu dla celów szczegółowych</w:t>
            </w:r>
          </w:p>
        </w:tc>
        <w:tc>
          <w:tcPr>
            <w:tcW w:w="2443"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427"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2015</w:t>
            </w:r>
          </w:p>
        </w:tc>
        <w:tc>
          <w:tcPr>
            <w:tcW w:w="1340" w:type="dxa"/>
            <w:tcBorders>
              <w:top w:val="single" w:sz="4" w:space="0" w:color="000000"/>
              <w:left w:val="single" w:sz="4" w:space="0" w:color="000000"/>
              <w:bottom w:val="single" w:sz="4" w:space="0" w:color="000000"/>
            </w:tcBorders>
            <w:shd w:val="clear" w:color="auto" w:fill="FFF2C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uczestniczących w wydarzeniach promujących zachowanie dziedzictwa lokalnego</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które skorzystały z pakietów ofert turystycznych powstałych w wyniku projektów współpracy</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rPr>
          <w:trHeight w:val="522"/>
        </w:trPr>
        <w:tc>
          <w:tcPr>
            <w:tcW w:w="754" w:type="dxa"/>
            <w:tcBorders>
              <w:top w:val="single" w:sz="4" w:space="0" w:color="000000"/>
              <w:left w:val="single" w:sz="4" w:space="0" w:color="000000"/>
              <w:bottom w:val="single" w:sz="4" w:space="0" w:color="000000"/>
            </w:tcBorders>
            <w:shd w:val="clear" w:color="auto" w:fill="auto"/>
          </w:tcPr>
          <w:p w:rsidR="00294BD0" w:rsidRDefault="00294BD0">
            <w:pPr>
              <w:rPr>
                <w:rFonts w:ascii="Times New Roman" w:hAnsi="Times New Roman" w:cs="Times New Roman"/>
              </w:rPr>
            </w:pPr>
            <w:r>
              <w:rPr>
                <w:rFonts w:ascii="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tcPr>
          <w:p w:rsidR="00294BD0" w:rsidRDefault="00294BD0">
            <w:pPr>
              <w:rPr>
                <w:rFonts w:ascii="Times New Roman" w:eastAsia="Times New Roman" w:hAnsi="Times New Roman" w:cs="Times New Roman"/>
              </w:rPr>
            </w:pPr>
            <w:r>
              <w:rPr>
                <w:rFonts w:ascii="Times New Roman" w:hAnsi="Times New Roman" w:cs="Times New Roman"/>
              </w:rPr>
              <w:t xml:space="preserve">Liczba uczestników szkoleń, organizowanych przez biuro LGD </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W.3.2</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korzystających z nowopowstałej, ogólnodostępnej i niekomercyjnej infrastruktury turystycznej, rekreacyjnej lub kulturalnej powstałej w ramach mikrograntów</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W.3.2</w:t>
            </w:r>
          </w:p>
        </w:tc>
        <w:tc>
          <w:tcPr>
            <w:tcW w:w="5686"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uczestniczących w wydarzeniach organizowanych przez organizacje pozarządowe</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tc>
          <w:tcPr>
            <w:tcW w:w="2863" w:type="dxa"/>
            <w:gridSpan w:val="2"/>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690"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1887"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Sposób realizacji (konkurs, projekt grantowy, operacja własna, projekt współpracy, aktywizacja itp.)</w:t>
            </w:r>
          </w:p>
        </w:tc>
        <w:tc>
          <w:tcPr>
            <w:tcW w:w="8942"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pPr>
            <w:r>
              <w:rPr>
                <w:rFonts w:ascii="Times New Roman" w:eastAsia="Times New Roman" w:hAnsi="Times New Roman" w:cs="Times New Roman"/>
              </w:rPr>
              <w:t>Wskaźniki produktu</w:t>
            </w:r>
          </w:p>
        </w:tc>
      </w:tr>
      <w:tr w:rsidR="00294BD0">
        <w:trPr>
          <w:trHeight w:val="302"/>
        </w:trPr>
        <w:tc>
          <w:tcPr>
            <w:tcW w:w="2863"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69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887"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443"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w:t>
            </w:r>
          </w:p>
        </w:tc>
        <w:tc>
          <w:tcPr>
            <w:tcW w:w="1427" w:type="dxa"/>
            <w:vMerge w:val="restart"/>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2461" w:type="dxa"/>
            <w:gridSpan w:val="2"/>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Wartość</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trPr>
          <w:trHeight w:val="470"/>
        </w:trPr>
        <w:tc>
          <w:tcPr>
            <w:tcW w:w="2863"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69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887"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244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427"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Początkowa rok 2015</w:t>
            </w:r>
          </w:p>
        </w:tc>
        <w:tc>
          <w:tcPr>
            <w:tcW w:w="1121" w:type="dxa"/>
            <w:tcBorders>
              <w:top w:val="single" w:sz="4" w:space="0" w:color="000000"/>
              <w:left w:val="single" w:sz="4" w:space="0" w:color="000000"/>
              <w:bottom w:val="single" w:sz="4" w:space="0" w:color="000000"/>
            </w:tcBorders>
            <w:shd w:val="clear" w:color="auto" w:fill="F7CAAC"/>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Końcowa rok 2020</w:t>
            </w: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r>
      <w:tr w:rsidR="00294BD0">
        <w:trPr>
          <w:trHeight w:val="1260"/>
        </w:trPr>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3.1.1</w:t>
            </w:r>
          </w:p>
        </w:tc>
        <w:tc>
          <w:tcPr>
            <w:tcW w:w="210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Zachowanie dziedzictwa kulturowego regionu</w:t>
            </w:r>
          </w:p>
        </w:tc>
        <w:tc>
          <w:tcPr>
            <w:tcW w:w="169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Organizacje pozarządowe, osoby fizyczne</w:t>
            </w:r>
          </w:p>
        </w:tc>
        <w:tc>
          <w:tcPr>
            <w:tcW w:w="188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wydarzeń/</w:t>
            </w:r>
            <w:r>
              <w:rPr>
                <w:rFonts w:ascii="Times New Roman" w:eastAsia="Times New Roman" w:hAnsi="Times New Roman" w:cs="Times New Roman"/>
                <w:color w:val="0D0D0D"/>
              </w:rPr>
              <w:t>imprez</w:t>
            </w:r>
            <w:r>
              <w:rPr>
                <w:rFonts w:ascii="Times New Roman" w:eastAsia="Times New Roman" w:hAnsi="Times New Roman" w:cs="Times New Roman"/>
                <w:strike/>
                <w:color w:val="ED7D31"/>
              </w:rPr>
              <w:t xml:space="preserve"> </w:t>
            </w:r>
            <w:r>
              <w:rPr>
                <w:rFonts w:ascii="Times New Roman" w:eastAsia="Times New Roman" w:hAnsi="Times New Roman" w:cs="Times New Roman"/>
              </w:rPr>
              <w:t>promujących zachowanie dziedzictwa obszaru LGD</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trPr>
          <w:trHeight w:val="1116"/>
        </w:trPr>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3.1.2</w:t>
            </w:r>
          </w:p>
        </w:tc>
        <w:tc>
          <w:tcPr>
            <w:tcW w:w="210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Podniesienie poziomu wiedzy z zakresu możliwości aplikowania o środki na Projekty Grantowe</w:t>
            </w:r>
          </w:p>
        </w:tc>
        <w:tc>
          <w:tcPr>
            <w:tcW w:w="169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Organizacje pozarządowe, </w:t>
            </w:r>
          </w:p>
        </w:tc>
        <w:tc>
          <w:tcPr>
            <w:tcW w:w="188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Aktywizacja</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godzin doradztwa udzielonego w ramach cyklu szkoleniowego</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godzina</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trPr>
          <w:trHeight w:val="567"/>
        </w:trPr>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3.1.3</w:t>
            </w:r>
          </w:p>
        </w:tc>
        <w:tc>
          <w:tcPr>
            <w:tcW w:w="210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Rozwój ofert turystycznych w regionie</w:t>
            </w:r>
          </w:p>
        </w:tc>
        <w:tc>
          <w:tcPr>
            <w:tcW w:w="169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LGD</w:t>
            </w:r>
          </w:p>
        </w:tc>
        <w:tc>
          <w:tcPr>
            <w:tcW w:w="188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Projekty Współpracy</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Liczba zrealizowanych projektów współpracy</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trPr>
          <w:trHeight w:val="1260"/>
        </w:trPr>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3.2.1</w:t>
            </w:r>
          </w:p>
        </w:tc>
        <w:tc>
          <w:tcPr>
            <w:tcW w:w="210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Działania wzmacniające aktywność lokalnej społeczności</w:t>
            </w:r>
          </w:p>
        </w:tc>
        <w:tc>
          <w:tcPr>
            <w:tcW w:w="169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Organizacje pozarządowe, osoby fizyczne, </w:t>
            </w: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osoby zagrożone wykluczeniem społecznym</w:t>
            </w:r>
          </w:p>
        </w:tc>
        <w:tc>
          <w:tcPr>
            <w:tcW w:w="1887"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wybudowanych obiektów ogólnodostępnej i niekomercyjnej infrastruktury turystycznej, rekreacyjnej lub kulturalnej</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p w:rsidR="00294BD0" w:rsidRDefault="00294BD0">
            <w:pPr>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p w:rsidR="00294BD0" w:rsidRDefault="00294BD0">
            <w:pPr>
              <w:spacing w:after="0" w:line="240" w:lineRule="auto"/>
              <w:jc w:val="center"/>
              <w:rPr>
                <w:rFonts w:ascii="Times New Roman" w:eastAsia="Times New Roman" w:hAnsi="Times New Roman" w:cs="Times New Roman"/>
              </w:rPr>
            </w:pPr>
          </w:p>
        </w:tc>
        <w:tc>
          <w:tcPr>
            <w:tcW w:w="1121"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tc>
          <w:tcPr>
            <w:tcW w:w="754"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3.2.2</w:t>
            </w:r>
          </w:p>
        </w:tc>
        <w:tc>
          <w:tcPr>
            <w:tcW w:w="2109"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Wzmocnienie potencjału organizacji pozarządowych</w:t>
            </w:r>
          </w:p>
        </w:tc>
        <w:tc>
          <w:tcPr>
            <w:tcW w:w="169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Organizacje pozarządowe</w:t>
            </w:r>
          </w:p>
        </w:tc>
        <w:tc>
          <w:tcPr>
            <w:tcW w:w="1887"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wydarzeń zorganizowanych przez organizacje pozarządowe</w:t>
            </w:r>
          </w:p>
        </w:tc>
        <w:tc>
          <w:tcPr>
            <w:tcW w:w="1427"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sztuka</w:t>
            </w:r>
          </w:p>
        </w:tc>
        <w:tc>
          <w:tcPr>
            <w:tcW w:w="1340"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tc>
          <w:tcPr>
            <w:tcW w:w="6440" w:type="dxa"/>
            <w:gridSpan w:val="4"/>
            <w:tcBorders>
              <w:top w:val="single" w:sz="4" w:space="0" w:color="000000"/>
              <w:left w:val="single" w:sz="4" w:space="0" w:color="000000"/>
              <w:bottom w:val="single" w:sz="4" w:space="0" w:color="000000"/>
            </w:tcBorders>
            <w:shd w:val="clear" w:color="auto" w:fill="C45911"/>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SUMA</w:t>
            </w:r>
          </w:p>
        </w:tc>
        <w:tc>
          <w:tcPr>
            <w:tcW w:w="89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rPr>
            </w:pPr>
          </w:p>
        </w:tc>
      </w:tr>
    </w:tbl>
    <w:p w:rsidR="00294BD0" w:rsidRDefault="00294BD0">
      <w:pPr>
        <w:spacing w:after="0" w:line="240" w:lineRule="auto"/>
        <w:rPr>
          <w:rFonts w:ascii="Times New Roman" w:eastAsia="Times New Roman" w:hAnsi="Times New Roman" w:cs="Times New Roman"/>
          <w:sz w:val="20"/>
          <w:szCs w:val="20"/>
        </w:rPr>
      </w:pPr>
    </w:p>
    <w:p w:rsidR="00294BD0" w:rsidRDefault="00294BD0">
      <w:pPr>
        <w:spacing w:after="0"/>
        <w:rPr>
          <w:rFonts w:ascii="Times New Roman" w:eastAsia="Times New Roman" w:hAnsi="Times New Roman" w:cs="Times New Roman"/>
          <w:b/>
          <w:bCs/>
          <w:color w:val="2E74B5"/>
        </w:rPr>
        <w:sectPr w:rsidR="00294BD0">
          <w:footerReference w:type="default" r:id="rId23"/>
          <w:pgSz w:w="16838" w:h="11906" w:orient="landscape"/>
          <w:pgMar w:top="1418" w:right="851" w:bottom="851" w:left="851" w:header="708" w:footer="708" w:gutter="0"/>
          <w:cols w:space="708"/>
          <w:docGrid w:linePitch="600" w:charSpace="36864"/>
        </w:sectPr>
      </w:pPr>
      <w:r>
        <w:rPr>
          <w:rFonts w:ascii="Times New Roman" w:hAnsi="Times New Roman" w:cs="Times New Roman"/>
          <w:i/>
        </w:rPr>
        <w:t xml:space="preserve">(Tabela nr 26 – Cele i Wskaźniki dla 3 celu ogólnego tj. </w:t>
      </w:r>
      <w:r>
        <w:rPr>
          <w:rFonts w:ascii="Times New Roman" w:eastAsia="Times New Roman" w:hAnsi="Times New Roman" w:cs="Times New Roman"/>
          <w:i/>
        </w:rPr>
        <w:t>Wzrost kapitału społecznego na obszarze LGD</w:t>
      </w:r>
      <w:r>
        <w:rPr>
          <w:rFonts w:ascii="Times New Roman" w:hAnsi="Times New Roman" w:cs="Times New Roman"/>
          <w:i/>
        </w:rPr>
        <w:t xml:space="preserve"> - opracowanie własne LGD)</w:t>
      </w:r>
    </w:p>
    <w:p w:rsidR="00294BD0" w:rsidRDefault="00294BD0">
      <w:pPr>
        <w:tabs>
          <w:tab w:val="left" w:pos="3270"/>
        </w:tabs>
        <w:spacing w:after="0" w:line="240" w:lineRule="auto"/>
        <w:rPr>
          <w:rFonts w:ascii="Times New Roman" w:eastAsia="Times New Roman" w:hAnsi="Times New Roman" w:cs="Times New Roman"/>
          <w:b/>
        </w:rPr>
      </w:pPr>
      <w:r>
        <w:rPr>
          <w:rFonts w:ascii="Times New Roman" w:eastAsia="Times New Roman" w:hAnsi="Times New Roman" w:cs="Times New Roman"/>
          <w:b/>
          <w:bCs/>
          <w:color w:val="2E74B5"/>
        </w:rPr>
        <w:t>Rozdział VI. Sposób wyboru i oceny operacji oraz sposób ustanawiania kryteriów wyboru</w:t>
      </w:r>
    </w:p>
    <w:p w:rsidR="00294BD0" w:rsidRDefault="00294BD0">
      <w:pPr>
        <w:spacing w:after="0" w:line="240" w:lineRule="auto"/>
        <w:rPr>
          <w:rFonts w:ascii="Times New Roman" w:eastAsia="Times New Roman" w:hAnsi="Times New Roman" w:cs="Times New Roman"/>
          <w:b/>
        </w:rPr>
      </w:pPr>
    </w:p>
    <w:p w:rsidR="00294BD0" w:rsidRDefault="00294BD0">
      <w:pPr>
        <w:numPr>
          <w:ilvl w:val="3"/>
          <w:numId w:val="53"/>
        </w:numPr>
        <w:spacing w:after="0" w:line="240" w:lineRule="auto"/>
        <w:ind w:left="284" w:hanging="284"/>
        <w:rPr>
          <w:rFonts w:ascii="Times New Roman" w:eastAsia="Times New Roman" w:hAnsi="Times New Roman" w:cs="Times New Roman"/>
          <w:b/>
        </w:rPr>
      </w:pPr>
      <w:r>
        <w:rPr>
          <w:rFonts w:ascii="Times New Roman" w:eastAsia="Times New Roman" w:hAnsi="Times New Roman" w:cs="Times New Roman"/>
          <w:b/>
          <w:color w:val="000000"/>
        </w:rPr>
        <w:t>Ogólna charakterystyka przyjętych rozwiązań formalno-instytucjonalnych</w:t>
      </w:r>
    </w:p>
    <w:p w:rsidR="00294BD0" w:rsidRDefault="00294BD0">
      <w:pPr>
        <w:spacing w:after="0" w:line="240" w:lineRule="auto"/>
        <w:ind w:left="284"/>
        <w:rPr>
          <w:rFonts w:ascii="Times New Roman" w:eastAsia="Times New Roman" w:hAnsi="Times New Roman" w:cs="Times New Roman"/>
          <w:b/>
        </w:rPr>
      </w:pPr>
    </w:p>
    <w:p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 celu stworzenia sprawnego i czytelnego dla potencjalnych beneficjentów systemu przyznawania wsparcia z budżetu będącego w dyspozycji LGD, opracowano następujący zestaw procedur:</w:t>
      </w:r>
    </w:p>
    <w:p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wyboru operacji realizowanych przez podmioty inne niż LGD zawierająca m.in.:</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sposób organizacji naborów,</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sposób przyjmowania wniosków o dofinansowanie operacji,</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oceny zgodności operacji z LSR i zakresem tematycznym oraz wyboru do finansowania,</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oceny zgodności z PROW 2014-2020;</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ustalania kwoty wsparcia,</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opis sposobu informowania o wynikach oceny,</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regulacje zapewniające stosowanie tych samych kryteriów wyboru w trakcie trwania naboru,</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Kryteria Wyboru Operacji wraz z zasadami oceniania,</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wniesienia i rozpatrywania protestu,</w:t>
      </w:r>
    </w:p>
    <w:p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wyboru Projektów Grantowych zawierająca regulacje takie jak w/w (oprócz zasad wniesienie i rozpatrywania protestu) oraz dodatkowo:</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prawo wniesienia odwołania od decyzji Rady,</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wykonania zadań przez grantobiorców,</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rozliczania realizacji zadań przez grantobiorców,</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sprawozdawczości z realizacji zadań przez grantobiorców,</w:t>
      </w:r>
    </w:p>
    <w:p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monitoringu i kontroli PG;</w:t>
      </w:r>
    </w:p>
    <w:p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zmiany kryteriów wyboru operacji,</w:t>
      </w:r>
    </w:p>
    <w:p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wyłączenia członka Rady z udziału w wyborze operacji w razie zaistnienia okoliczności podważających bezstronność w procesie oceny,</w:t>
      </w: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Rada dokonuje oceny zgodności operacji z LSR w oparciu o ustaloną procedurę oraz z zastosowaniem kryteriów wyboru operacji, określających priorytety LGD wynikające z przeprowadzonej diagnozy oraz analizy SWOT obszaru.</w:t>
      </w:r>
    </w:p>
    <w:p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Procedura przeprowadzania głosowania zawarta jest w regulaminie Rady.</w:t>
      </w:r>
    </w:p>
    <w:p w:rsidR="00294BD0" w:rsidRDefault="00294BD0">
      <w:pPr>
        <w:spacing w:after="0" w:line="240" w:lineRule="auto"/>
        <w:ind w:left="360"/>
        <w:jc w:val="both"/>
        <w:rPr>
          <w:rFonts w:ascii="Times New Roman" w:eastAsia="Times New Roman" w:hAnsi="Times New Roman" w:cs="Times New Roman"/>
        </w:rPr>
      </w:pPr>
    </w:p>
    <w:p w:rsidR="00294BD0" w:rsidRDefault="00294BD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rPr>
        <w:t>Wymienione powyżej propozycje procedur były przygotowane przez członków Rady, a następnie konsultowane i uchwalane na Walnym Zebraniu Członków, a po ich akceptacji upubliczniane na stronie internetowej LGD.</w:t>
      </w:r>
    </w:p>
    <w:p w:rsidR="00294BD0" w:rsidRDefault="00294BD0">
      <w:pPr>
        <w:spacing w:after="0" w:line="240" w:lineRule="auto"/>
        <w:rPr>
          <w:rFonts w:ascii="Times New Roman" w:eastAsia="Times New Roman" w:hAnsi="Times New Roman" w:cs="Times New Roman"/>
          <w:sz w:val="24"/>
          <w:szCs w:val="24"/>
        </w:rPr>
      </w:pPr>
    </w:p>
    <w:p w:rsidR="00294BD0" w:rsidRDefault="00294BD0">
      <w:pPr>
        <w:numPr>
          <w:ilvl w:val="0"/>
          <w:numId w:val="53"/>
        </w:numPr>
        <w:tabs>
          <w:tab w:val="left" w:pos="284"/>
        </w:tabs>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color w:val="000000"/>
        </w:rPr>
        <w:t>Sposób ustanawiania i zmiany kryteriów wyboru</w:t>
      </w:r>
    </w:p>
    <w:p w:rsidR="00294BD0" w:rsidRDefault="00294BD0">
      <w:pPr>
        <w:spacing w:after="0" w:line="240" w:lineRule="auto"/>
        <w:rPr>
          <w:rFonts w:ascii="Times New Roman" w:eastAsia="Times New Roman" w:hAnsi="Times New Roman" w:cs="Times New Roman"/>
          <w:sz w:val="24"/>
          <w:szCs w:val="24"/>
        </w:rPr>
      </w:pPr>
    </w:p>
    <w:p w:rsidR="00294BD0" w:rsidRDefault="00294BD0">
      <w:pPr>
        <w:spacing w:after="0" w:line="240" w:lineRule="auto"/>
        <w:ind w:left="284"/>
        <w:jc w:val="both"/>
        <w:rPr>
          <w:rFonts w:ascii="Times New Roman" w:hAnsi="Times New Roman" w:cs="Times New Roman"/>
        </w:rPr>
      </w:pPr>
      <w:r>
        <w:rPr>
          <w:rFonts w:ascii="Times New Roman" w:eastAsia="Times New Roman" w:hAnsi="Times New Roman" w:cs="Times New Roman"/>
        </w:rPr>
        <w:t xml:space="preserve">Kryteria Wyboru Operacji oraz Kryteria Wyborów Grantów zostały ustanowienie podczas spotkania grupy roboczej. Następnie zostały poddane dyskusji na Walnym Zebraniu Członków Stowarzyszenia LGD Bory Dolnośląskie oraz przedłożone do konsultacji społecznych. Zgłoszono uwagi do Kryteriów Wyboru Operacji do celu ogólnego nr 2 z propozycją rozszerzenia zaprezentowanych kryteriów o pytania dotyczące społecznego charakteru operacji oraz ich wpływu na integrację mieszkańców. Ponadto zwrócono uwagę na to, żeby ujednolicić pojęcie innowacji i we wszystkich kryteriach zastosować taką samą definicję. Ostatnia uwaga odnosiła się do uściślenia pytania: </w:t>
      </w:r>
      <w:r>
        <w:rPr>
          <w:rFonts w:ascii="Times New Roman" w:hAnsi="Times New Roman" w:cs="Times New Roman"/>
          <w:i/>
        </w:rPr>
        <w:t xml:space="preserve">Czy planowane działania sprzyjają ochronie środowiska i klimatu? </w:t>
      </w:r>
      <w:r>
        <w:rPr>
          <w:rFonts w:ascii="Times New Roman" w:hAnsi="Times New Roman" w:cs="Times New Roman"/>
        </w:rPr>
        <w:t xml:space="preserve">Wszystkie uwagi zostały uwzględnione. </w:t>
      </w:r>
    </w:p>
    <w:p w:rsidR="00294BD0" w:rsidRDefault="00294BD0">
      <w:pPr>
        <w:tabs>
          <w:tab w:val="left" w:pos="284"/>
        </w:tabs>
        <w:autoSpaceDE w:val="0"/>
        <w:spacing w:after="0" w:line="240" w:lineRule="auto"/>
        <w:ind w:left="284"/>
        <w:jc w:val="both"/>
        <w:rPr>
          <w:rFonts w:ascii="Times New Roman" w:eastAsia="Times New Roman" w:hAnsi="Times New Roman" w:cs="Times New Roman"/>
        </w:rPr>
      </w:pPr>
      <w:r>
        <w:rPr>
          <w:rFonts w:ascii="Times New Roman" w:hAnsi="Times New Roman" w:cs="Times New Roman"/>
        </w:rPr>
        <w:t xml:space="preserve">Kryteria </w:t>
      </w:r>
      <w:r>
        <w:rPr>
          <w:rFonts w:ascii="Times New Roman" w:eastAsia="Times New Roman" w:hAnsi="Times New Roman" w:cs="Times New Roman"/>
        </w:rPr>
        <w:t xml:space="preserve">Wyboru Operacji oraz Kryteria Wyborów Grantów </w:t>
      </w:r>
      <w:r>
        <w:rPr>
          <w:rFonts w:ascii="Times New Roman" w:hAnsi="Times New Roman" w:cs="Times New Roman"/>
        </w:rPr>
        <w:t xml:space="preserve">powstały w oparciu o kryteria obowiązkowe oraz kryteria, których spełnienie jest ważne z punktu widzenia LGD i przyczyni się do  realizacji celów określonych w LSR. Określenie kryteriów wynikało z analizy SWOT i diagnozy obszaru. </w:t>
      </w:r>
    </w:p>
    <w:p w:rsidR="00294BD0" w:rsidRDefault="00294BD0">
      <w:pPr>
        <w:tabs>
          <w:tab w:val="left" w:pos="284"/>
        </w:tabs>
        <w:autoSpaceDE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Walne Zebranie Członków Stowarzyszenia LGD Bory Dolnośląskie ma prawo do zmiany Kryteriów Wyboru Operacji i Kryteriów Wyboru Grantów. Zasady ustalania i zmiany kryteriów wyboru zostały zawarte w procedurze i stanowią odrębny załącznik do wniosku o wybór LSR. </w:t>
      </w:r>
    </w:p>
    <w:p w:rsidR="00294BD0" w:rsidRDefault="00294BD0">
      <w:pPr>
        <w:spacing w:after="0" w:line="240" w:lineRule="auto"/>
        <w:rPr>
          <w:rFonts w:ascii="Times New Roman" w:eastAsia="Times New Roman" w:hAnsi="Times New Roman" w:cs="Times New Roman"/>
          <w:sz w:val="24"/>
          <w:szCs w:val="24"/>
        </w:rPr>
      </w:pPr>
    </w:p>
    <w:p w:rsidR="00294BD0" w:rsidRDefault="00294BD0">
      <w:pPr>
        <w:numPr>
          <w:ilvl w:val="0"/>
          <w:numId w:val="53"/>
        </w:numPr>
        <w:tabs>
          <w:tab w:val="left" w:pos="284"/>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sz w:val="24"/>
          <w:szCs w:val="24"/>
        </w:rPr>
        <w:t>Wskazanie w jaki sposób w kryteriach wyboru operacji została uwzględniona innowacyjność oraz przedstawienie jej definicji i zasad oceny</w:t>
      </w:r>
    </w:p>
    <w:p w:rsidR="00294BD0" w:rsidRDefault="00294BD0">
      <w:pPr>
        <w:tabs>
          <w:tab w:val="left" w:pos="1134"/>
        </w:tabs>
        <w:spacing w:after="0" w:line="240" w:lineRule="auto"/>
        <w:ind w:left="284"/>
        <w:jc w:val="both"/>
        <w:rPr>
          <w:rFonts w:ascii="Times New Roman" w:hAnsi="Times New Roman" w:cs="Times New Roman"/>
        </w:rPr>
      </w:pPr>
      <w:r>
        <w:rPr>
          <w:rFonts w:ascii="Times New Roman" w:eastAsia="Times New Roman" w:hAnsi="Times New Roman" w:cs="Times New Roman"/>
        </w:rPr>
        <w:t>Kryteria wyboru operacji zarówno grantowych jak i pozostałych uwzględniają m.in. ocenę wniosku pod kątem jego innowacyjności. W celu doprecyzowania tego aspektu oceny zdefiniowano pojęcie</w:t>
      </w:r>
      <w:r>
        <w:rPr>
          <w:rFonts w:ascii="Times New Roman" w:hAnsi="Times New Roman" w:cs="Times New Roman"/>
        </w:rPr>
        <w:t xml:space="preserve"> innowacyjności, które oznacza wprowadzanie nowego lub znacząco udoskonalonego produktu (wyrobu lub usługi), nowego procesu, nowej metody organizacji lub nowej metody promocji na poziomie co najmniej gminy. 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na poziomie co najmniej gminy. </w:t>
      </w:r>
    </w:p>
    <w:p w:rsidR="00294BD0" w:rsidRDefault="00294BD0">
      <w:pPr>
        <w:tabs>
          <w:tab w:val="left" w:pos="1134"/>
        </w:tabs>
        <w:spacing w:after="0"/>
        <w:ind w:left="284"/>
        <w:jc w:val="both"/>
        <w:rPr>
          <w:rFonts w:ascii="Times New Roman" w:hAnsi="Times New Roman" w:cs="Times New Roman"/>
        </w:rPr>
      </w:pPr>
      <w:r>
        <w:rPr>
          <w:rFonts w:ascii="Times New Roman" w:hAnsi="Times New Roman" w:cs="Times New Roman"/>
        </w:rPr>
        <w:t>Zaproponowana punktacja to:</w:t>
      </w:r>
    </w:p>
    <w:p w:rsidR="00294BD0" w:rsidRDefault="00294BD0">
      <w:pPr>
        <w:tabs>
          <w:tab w:val="left" w:pos="1134"/>
        </w:tabs>
        <w:ind w:left="284"/>
        <w:jc w:val="both"/>
        <w:rPr>
          <w:rFonts w:ascii="Times New Roman" w:hAnsi="Times New Roman" w:cs="Times New Roman"/>
        </w:rPr>
      </w:pPr>
      <w:r>
        <w:rPr>
          <w:rFonts w:ascii="Times New Roman" w:hAnsi="Times New Roman" w:cs="Times New Roman"/>
        </w:rPr>
        <w:t>Działanie nie posiada innowacyjnego charakteru – 0 pkt</w:t>
      </w:r>
    </w:p>
    <w:p w:rsidR="00294BD0" w:rsidRDefault="00294BD0">
      <w:pPr>
        <w:tabs>
          <w:tab w:val="left" w:pos="1134"/>
        </w:tabs>
        <w:ind w:left="284"/>
        <w:jc w:val="both"/>
        <w:rPr>
          <w:rFonts w:ascii="Times New Roman" w:eastAsia="Times New Roman" w:hAnsi="Times New Roman" w:cs="Times New Roman"/>
        </w:rPr>
      </w:pPr>
      <w:r>
        <w:rPr>
          <w:rFonts w:ascii="Times New Roman" w:hAnsi="Times New Roman" w:cs="Times New Roman"/>
        </w:rPr>
        <w:t>Działania posiada charakter innowacyjny – 1 pkt</w:t>
      </w:r>
    </w:p>
    <w:p w:rsidR="00294BD0" w:rsidRDefault="00294BD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rPr>
        <w:t>Każdy z członków Rady będzie posiadał obowiązek określenia, czy oceniany przez niego wniosek posiada charakter innowacyjny czy też nie przyznając na karcie ocen odpowiednio 0 lub 1 punkt, czyni to poprzez stwierdzenie czy dana operacja jest zgodna z przyjętą w LSR definicją.</w:t>
      </w:r>
    </w:p>
    <w:p w:rsidR="00294BD0" w:rsidRDefault="00294BD0">
      <w:pPr>
        <w:spacing w:after="0" w:line="240" w:lineRule="auto"/>
        <w:rPr>
          <w:rFonts w:ascii="Times New Roman" w:eastAsia="Times New Roman" w:hAnsi="Times New Roman" w:cs="Times New Roman"/>
          <w:sz w:val="24"/>
          <w:szCs w:val="24"/>
        </w:rPr>
      </w:pPr>
    </w:p>
    <w:p w:rsidR="00294BD0" w:rsidRDefault="00294BD0">
      <w:pPr>
        <w:numPr>
          <w:ilvl w:val="0"/>
          <w:numId w:val="53"/>
        </w:numPr>
        <w:tabs>
          <w:tab w:val="left" w:pos="284"/>
        </w:tabs>
        <w:autoSpaceDE w:val="0"/>
        <w:spacing w:after="0" w:line="240" w:lineRule="auto"/>
        <w:ind w:left="284" w:hanging="284"/>
        <w:rPr>
          <w:rFonts w:ascii="Times New Roman" w:eastAsia="Times New Roman" w:hAnsi="Times New Roman" w:cs="Times New Roman"/>
          <w:b/>
          <w:i/>
        </w:rPr>
      </w:pPr>
      <w:r>
        <w:rPr>
          <w:rFonts w:ascii="Times New Roman" w:eastAsia="Times New Roman" w:hAnsi="Times New Roman" w:cs="Times New Roman"/>
          <w:b/>
          <w:color w:val="000000"/>
        </w:rPr>
        <w:t>Informacja o realizacji projektów grantowych i/lub operacji własnych</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b/>
          <w:i/>
        </w:rPr>
        <w:t xml:space="preserve">LGD planuje realizację  Projektów Grantowych o wartości 600.000,00  tysięcy. Natomiast nie planuje realizacji operacji własnych. </w:t>
      </w:r>
    </w:p>
    <w:p w:rsidR="00294BD0" w:rsidRDefault="00294BD0">
      <w:pPr>
        <w:numPr>
          <w:ilvl w:val="0"/>
          <w:numId w:val="32"/>
        </w:num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Celem głównym Projektów Grantowych ma być wzrost kapitału społecznego na obszarze LGD. Natomiast cele szczegółowe to: a) Rozwój kulturalny i turystyczny regionu, b) Zwiększenie zaangażowania i współpracy mieszkańców. Zakres realizacji Projektów Grantowych obejmuje: a) Działania wzmacniające aktywność lokalnej społeczności, b) Zachowanie dziedzictwa kulturowego regionu, c) Wzmocnienie potencjału organizacji pozarządowych, d) Podniesienie poziomu wiedzy z zakresu możliwości aplikowania o środki na Projekty Grantowe. Pomoc na operacje w ramach projektów grantowych będzie przyznawana w zakresie wzmocnienia kapitału społecznego, w tym przez podnoszenie wiedzy społeczności lokalnej w zakresie ochrony środowiska i zmian klimatycznych, także z wykorzystaniem rozwiązań innowacyjnych</w:t>
      </w:r>
      <w:r>
        <w:rPr>
          <w:rFonts w:ascii="Times New Roman" w:eastAsia="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rozwój ogólnodostępnej i niekomercyjnej infrastruktury turystycznej, rekreacyjnej lub kulturalnej</w:t>
      </w:r>
      <w:r>
        <w:rPr>
          <w:rFonts w:ascii="Times New Roman" w:eastAsia="Times New Roman" w:hAnsi="Times New Roman" w:cs="Times New Roman"/>
        </w:rPr>
        <w:t xml:space="preserve"> oraz w zakresie zachowania dziedzictwa lokalnego. Operacje realizowane w ramach Projektów Grantowych mieszczą się w granicach: </w:t>
      </w:r>
      <w:r>
        <w:rPr>
          <w:rFonts w:ascii="Times New Roman" w:eastAsia="Times New Roman" w:hAnsi="Times New Roman" w:cs="Times New Roman"/>
          <w:color w:val="000000"/>
        </w:rPr>
        <w:t>- 5.000 - 30.000</w:t>
      </w:r>
      <w:r>
        <w:rPr>
          <w:rFonts w:ascii="Times New Roman" w:eastAsia="Times New Roman" w:hAnsi="Times New Roman" w:cs="Times New Roman"/>
        </w:rPr>
        <w:t xml:space="preserve"> zł. Zmniejszenie intensywności pomocy dla projektów grantowych wynika z chęci zwiększenia ilości zrealizowanych operacji i tym samym zaangażowania większej grupy ludzi do działania. Uprawnionymi do ubiegania się o wsparcie w ramach projektów grantowych są: </w:t>
      </w:r>
      <w:r>
        <w:rPr>
          <w:rFonts w:ascii="Times New Roman" w:hAnsi="Times New Roman" w:cs="Times New Roman"/>
        </w:rPr>
        <w:t>osoby prawne, jeżeli siedziba tej osoby lub jej oddziału znajduje się na obszarze wiejskim objętym LSR oraz jednostki organizacyjne nieposiadające osobowości prawnej, której ustawa przyznaje zdolność prawną</w:t>
      </w:r>
      <w:r>
        <w:rPr>
          <w:rFonts w:ascii="Times New Roman" w:eastAsia="Times New Roman" w:hAnsi="Times New Roman" w:cs="Times New Roman"/>
        </w:rPr>
        <w:t xml:space="preserve">. Poziom dofinansowania dla projektów grantowych wynosi 100%. Ze wsparcia na realizację operacji w ramach Projektów Grantowych </w:t>
      </w:r>
      <w:r>
        <w:rPr>
          <w:rFonts w:ascii="Times New Roman" w:hAnsi="Times New Roman" w:cs="Times New Roman"/>
        </w:rPr>
        <w:t>wykluczono jednostki sektora finansów publicznych.</w:t>
      </w:r>
      <w:r>
        <w:rPr>
          <w:rFonts w:ascii="Times New Roman" w:eastAsia="Times New Roman" w:hAnsi="Times New Roman" w:cs="Times New Roman"/>
        </w:rPr>
        <w:t xml:space="preserve"> Podmiot </w:t>
      </w:r>
      <w:r>
        <w:rPr>
          <w:rFonts w:ascii="Times New Roman" w:hAnsi="Times New Roman" w:cs="Times New Roman"/>
        </w:rPr>
        <w:t xml:space="preserve">ubiegający się o wsparcie w ramach Projektów Grantowych nie może prowadzić działalności gospodarczej. Operacja nie może być współfinansowana z innych środków publicznych z wyjątkiem operacji realizowanych przez jednostkę sektora finansów publicznych lub organizację pożytku publicznego będącą organizacją pozarządową. </w:t>
      </w:r>
      <w:r>
        <w:rPr>
          <w:rFonts w:ascii="Times New Roman" w:eastAsia="Times New Roman" w:hAnsi="Times New Roman" w:cs="Times New Roman"/>
        </w:rPr>
        <w:t xml:space="preserve">Realizacja operacji grantowych może odbyć się maksymalnie w dwóch etapach. </w:t>
      </w:r>
      <w:r>
        <w:rPr>
          <w:rFonts w:ascii="Times New Roman" w:eastAsia="Times New Roman" w:hAnsi="Times New Roman" w:cs="Times New Roman"/>
          <w:sz w:val="23"/>
          <w:szCs w:val="23"/>
        </w:rPr>
        <w:t>Planowane do osiągnięcia wskaźniki produktu i rezultatu realizacji PG przedstawia szczegółowo Plan działania stanowiący załącznik nr 3 do niniejszego dokumentu.</w:t>
      </w:r>
    </w:p>
    <w:p w:rsidR="00294BD0" w:rsidRDefault="00294BD0">
      <w:pPr>
        <w:autoSpaceDE w:val="0"/>
        <w:spacing w:after="0" w:line="240" w:lineRule="auto"/>
        <w:jc w:val="both"/>
        <w:rPr>
          <w:rFonts w:ascii="Times New Roman" w:eastAsia="Times New Roman" w:hAnsi="Times New Roman" w:cs="Times New Roman"/>
          <w:b/>
          <w:color w:val="000000"/>
        </w:rPr>
      </w:pP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2E74B5"/>
        </w:rPr>
        <w:t>Rozdział VII. Plan działania</w:t>
      </w:r>
    </w:p>
    <w:p w:rsidR="00294BD0" w:rsidRDefault="00294BD0">
      <w:pPr>
        <w:autoSpaceDE w:val="0"/>
        <w:spacing w:after="0" w:line="240" w:lineRule="auto"/>
        <w:rPr>
          <w:rFonts w:ascii="Times New Roman" w:eastAsia="Times New Roman" w:hAnsi="Times New Roman" w:cs="Times New Roman"/>
          <w:b/>
          <w:color w:val="000000"/>
        </w:rPr>
      </w:pPr>
    </w:p>
    <w:p w:rsidR="00294BD0" w:rsidRDefault="00294BD0">
      <w:pPr>
        <w:tabs>
          <w:tab w:val="left" w:pos="284"/>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Plan działania jest ściśle powiązany z określonymi celami i wskaźnikami ich osiągania. Zaplanowane przedsięwzięcia zostały skonsultowane z przedstawicielami poszczególnych sektorów tj. jednostek sektora publicznego, przedsiębiorców, mieszkańców i organizacji pozarządowych funkcjonujących na obszarze LGD. Pozwoliło to na precyzyjne określenie planowanych do osiągnięcia efektów poszczególnych działań oraz czasu ich wykonania. Plan działania składa się z trzech tabel, osobna do każdego celu ogólnego. Wyodrębniono w nim wszystkie planowane do realizacji przedsięwzięcia oraz podano czas ich realizacji, zaplanowano kwotę oraz zakres działania w ramach PROW. Opisywany dokument stanowi załącznik nr 3 do niniejszego dokumentu. Natomiast poniżej został zamieszczony budżet celów szczegółowych w ramach wdrażania LSR w podziale czasowym.</w:t>
      </w: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284"/>
        </w:tabs>
        <w:spacing w:after="0" w:line="240" w:lineRule="auto"/>
        <w:ind w:left="284"/>
        <w:jc w:val="both"/>
        <w:rPr>
          <w:rFonts w:ascii="Times New Roman" w:eastAsia="Times New Roman" w:hAnsi="Times New Roman" w:cs="Times New Roman"/>
        </w:rPr>
      </w:pPr>
    </w:p>
    <w:p w:rsidR="00294BD0" w:rsidRDefault="00294BD0">
      <w:pPr>
        <w:tabs>
          <w:tab w:val="left" w:pos="0"/>
        </w:tab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748"/>
        <w:gridCol w:w="8"/>
        <w:gridCol w:w="1418"/>
        <w:gridCol w:w="8"/>
        <w:gridCol w:w="1481"/>
        <w:gridCol w:w="1134"/>
        <w:gridCol w:w="1730"/>
        <w:gridCol w:w="8"/>
      </w:tblGrid>
      <w:tr w:rsidR="00294BD0" w:rsidTr="006B2D4B">
        <w:tc>
          <w:tcPr>
            <w:tcW w:w="3756" w:type="dxa"/>
            <w:gridSpan w:val="2"/>
            <w:tcBorders>
              <w:top w:val="single" w:sz="4" w:space="0" w:color="000000"/>
              <w:left w:val="single" w:sz="4" w:space="0" w:color="000000"/>
              <w:bottom w:val="single" w:sz="4" w:space="0" w:color="000000"/>
            </w:tcBorders>
            <w:shd w:val="clear" w:color="auto" w:fill="B2A1C7"/>
          </w:tcPr>
          <w:p w:rsidR="00294BD0" w:rsidRDefault="00294BD0">
            <w:pPr>
              <w:spacing w:after="0" w:line="240" w:lineRule="auto"/>
              <w:rPr>
                <w:rFonts w:ascii="Times New Roman" w:eastAsia="Times New Roman" w:hAnsi="Times New Roman" w:cs="Times New Roman"/>
                <w:b/>
              </w:rPr>
            </w:pPr>
            <w:bookmarkStart w:id="1" w:name="_Hlk67851540"/>
            <w:bookmarkEnd w:id="1"/>
            <w:r>
              <w:rPr>
                <w:rFonts w:ascii="Times New Roman" w:eastAsia="Times New Roman" w:hAnsi="Times New Roman" w:cs="Times New Roman"/>
              </w:rPr>
              <w:t>Cele szczegółowe</w:t>
            </w:r>
          </w:p>
        </w:tc>
        <w:tc>
          <w:tcPr>
            <w:tcW w:w="1426" w:type="dxa"/>
            <w:gridSpan w:val="2"/>
            <w:tcBorders>
              <w:top w:val="single" w:sz="4" w:space="0" w:color="000000"/>
              <w:left w:val="single" w:sz="4" w:space="0" w:color="000000"/>
              <w:bottom w:val="single" w:sz="4" w:space="0" w:color="000000"/>
            </w:tcBorders>
            <w:shd w:val="clear" w:color="auto" w:fill="E5B8B7"/>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2016-2018</w:t>
            </w:r>
          </w:p>
          <w:p w:rsidR="00294BD0" w:rsidRDefault="00294BD0">
            <w:pPr>
              <w:spacing w:after="0" w:line="240" w:lineRule="auto"/>
              <w:rPr>
                <w:rFonts w:ascii="Times New Roman" w:eastAsia="Times New Roman" w:hAnsi="Times New Roman" w:cs="Times New Roman"/>
                <w:b/>
              </w:rPr>
            </w:pPr>
          </w:p>
        </w:tc>
        <w:tc>
          <w:tcPr>
            <w:tcW w:w="1481" w:type="dxa"/>
            <w:tcBorders>
              <w:top w:val="single" w:sz="4" w:space="0" w:color="000000"/>
              <w:left w:val="single" w:sz="4" w:space="0" w:color="000000"/>
              <w:bottom w:val="single" w:sz="4" w:space="0" w:color="000000"/>
            </w:tcBorders>
            <w:shd w:val="clear" w:color="auto" w:fill="E5B8B7"/>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2019-2021</w:t>
            </w:r>
          </w:p>
        </w:tc>
        <w:tc>
          <w:tcPr>
            <w:tcW w:w="1134" w:type="dxa"/>
            <w:tcBorders>
              <w:top w:val="single" w:sz="4" w:space="0" w:color="000000"/>
              <w:left w:val="single" w:sz="4" w:space="0" w:color="000000"/>
              <w:bottom w:val="single" w:sz="4" w:space="0" w:color="000000"/>
            </w:tcBorders>
            <w:shd w:val="clear" w:color="auto" w:fill="E5B8B7"/>
          </w:tcPr>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2022-202</w:t>
            </w:r>
            <w:r w:rsidR="00171CF3">
              <w:rPr>
                <w:rFonts w:ascii="Times New Roman" w:eastAsia="Times New Roman" w:hAnsi="Times New Roman" w:cs="Times New Roman"/>
                <w:b/>
              </w:rPr>
              <w:t>4</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E5B8B7"/>
          </w:tcPr>
          <w:p w:rsidR="00294BD0" w:rsidRDefault="00294BD0">
            <w:pPr>
              <w:spacing w:after="0" w:line="240" w:lineRule="auto"/>
            </w:pPr>
            <w:r>
              <w:rPr>
                <w:rFonts w:ascii="Times New Roman" w:eastAsia="Times New Roman" w:hAnsi="Times New Roman" w:cs="Times New Roman"/>
                <w:b/>
              </w:rPr>
              <w:t>Razem</w:t>
            </w:r>
          </w:p>
        </w:tc>
      </w:tr>
      <w:tr w:rsidR="00294BD0" w:rsidRPr="00217016" w:rsidTr="006B2D4B">
        <w:trPr>
          <w:gridAfter w:val="1"/>
          <w:wAfter w:w="8" w:type="dxa"/>
          <w:trHeight w:val="577"/>
        </w:trPr>
        <w:tc>
          <w:tcPr>
            <w:tcW w:w="3748" w:type="dxa"/>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Tworzenie warunków do zakładania przedsiębiorstw na obszarze LGD</w:t>
            </w:r>
          </w:p>
        </w:tc>
        <w:tc>
          <w:tcPr>
            <w:tcW w:w="142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117 814,26 euro</w:t>
            </w:r>
          </w:p>
          <w:p w:rsidR="00294BD0" w:rsidRDefault="00294BD0">
            <w:pPr>
              <w:spacing w:after="0" w:line="240" w:lineRule="auto"/>
              <w:rPr>
                <w:rFonts w:ascii="Times New Roman" w:eastAsia="Times New Roman" w:hAnsi="Times New Roman" w:cs="Times New Roman"/>
                <w:color w:val="000000"/>
              </w:rPr>
            </w:pPr>
          </w:p>
        </w:tc>
        <w:tc>
          <w:tcPr>
            <w:tcW w:w="1489"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p w:rsidR="00F83BC7" w:rsidRPr="00217016" w:rsidRDefault="00F83BC7" w:rsidP="00F83BC7">
            <w:pPr>
              <w:spacing w:after="0" w:line="276" w:lineRule="auto"/>
              <w:rPr>
                <w:rFonts w:ascii="Times New Roman" w:hAnsi="Times New Roman" w:cs="Times New Roman"/>
                <w:color w:val="000000"/>
                <w:sz w:val="24"/>
                <w:szCs w:val="24"/>
                <w:lang w:val="en-US" w:eastAsia="en-US" w:bidi="en-US"/>
              </w:rPr>
            </w:pPr>
            <w:r w:rsidRPr="00217016">
              <w:rPr>
                <w:rFonts w:ascii="Times New Roman" w:hAnsi="Times New Roman" w:cs="Times New Roman"/>
                <w:color w:val="000000"/>
                <w:sz w:val="24"/>
                <w:szCs w:val="24"/>
              </w:rPr>
              <w:t>332 589, 57</w:t>
            </w:r>
          </w:p>
          <w:p w:rsidR="00294BD0" w:rsidRPr="00217016" w:rsidRDefault="00294BD0">
            <w:pPr>
              <w:spacing w:after="0" w:line="240" w:lineRule="auto"/>
              <w:rPr>
                <w:rFonts w:ascii="Times New Roman" w:eastAsia="Times New Roman" w:hAnsi="Times New Roman" w:cs="Times New Roman"/>
                <w:b/>
                <w:color w:val="000000"/>
              </w:rPr>
            </w:pPr>
            <w:r w:rsidRPr="00217016">
              <w:rPr>
                <w:rFonts w:ascii="Times New Roman" w:hAnsi="Times New Roman" w:cs="Times New Roman"/>
                <w:color w:val="000000"/>
              </w:rPr>
              <w:t>euro</w:t>
            </w:r>
          </w:p>
          <w:p w:rsidR="00294BD0" w:rsidRPr="00217016" w:rsidRDefault="00294BD0">
            <w:pPr>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6B2D4B">
            <w:pPr>
              <w:snapToGrid w:val="0"/>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6</w:t>
            </w:r>
            <w:r w:rsidR="00BC1460" w:rsidRPr="00217016">
              <w:rPr>
                <w:rFonts w:ascii="Times New Roman" w:eastAsia="Times New Roman" w:hAnsi="Times New Roman" w:cs="Times New Roman"/>
                <w:color w:val="000000"/>
              </w:rPr>
              <w:t>5</w:t>
            </w:r>
            <w:r w:rsidR="0002355F" w:rsidRPr="00217016">
              <w:rPr>
                <w:rFonts w:ascii="Times New Roman" w:eastAsia="Times New Roman" w:hAnsi="Times New Roman" w:cs="Times New Roman"/>
                <w:color w:val="000000"/>
              </w:rPr>
              <w:t>0.</w:t>
            </w:r>
            <w:r w:rsidRPr="00217016">
              <w:rPr>
                <w:rFonts w:ascii="Times New Roman" w:eastAsia="Times New Roman" w:hAnsi="Times New Roman" w:cs="Times New Roman"/>
                <w:color w:val="000000"/>
              </w:rPr>
              <w:t>000,00 euro</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p w:rsidR="00294BD0" w:rsidRPr="00217016" w:rsidRDefault="00294BD0">
            <w:pPr>
              <w:spacing w:after="0" w:line="240" w:lineRule="auto"/>
              <w:rPr>
                <w:rFonts w:ascii="Times New Roman" w:eastAsia="Times New Roman" w:hAnsi="Times New Roman" w:cs="Times New Roman"/>
                <w:color w:val="000000"/>
              </w:rPr>
            </w:pPr>
          </w:p>
          <w:p w:rsidR="00294BD0" w:rsidRPr="00217016" w:rsidRDefault="006B2D4B">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 xml:space="preserve">1 </w:t>
            </w:r>
            <w:r w:rsidR="0002355F" w:rsidRPr="00217016">
              <w:rPr>
                <w:rFonts w:ascii="Times New Roman" w:eastAsia="Times New Roman" w:hAnsi="Times New Roman" w:cs="Times New Roman"/>
                <w:color w:val="000000"/>
              </w:rPr>
              <w:t>100</w:t>
            </w:r>
            <w:r w:rsidRPr="00217016">
              <w:rPr>
                <w:rFonts w:ascii="Times New Roman" w:eastAsia="Times New Roman" w:hAnsi="Times New Roman" w:cs="Times New Roman"/>
                <w:color w:val="000000"/>
              </w:rPr>
              <w:t xml:space="preserve"> 403,83</w:t>
            </w:r>
          </w:p>
        </w:tc>
      </w:tr>
      <w:tr w:rsidR="00294BD0" w:rsidTr="006B2D4B">
        <w:trPr>
          <w:trHeight w:val="509"/>
        </w:trPr>
        <w:tc>
          <w:tcPr>
            <w:tcW w:w="3756" w:type="dxa"/>
            <w:gridSpan w:val="2"/>
            <w:vMerge w:val="restart"/>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hAnsi="Times New Roman" w:cs="Times New Roman"/>
                <w:color w:val="000000"/>
              </w:rPr>
            </w:pPr>
            <w:r>
              <w:rPr>
                <w:rFonts w:ascii="Times New Roman" w:eastAsia="Times New Roman" w:hAnsi="Times New Roman" w:cs="Times New Roman"/>
                <w:b/>
              </w:rPr>
              <w:t>Rozwój istniejących przedsiębiorstw i inicjowanie współpracy pomiędzy podmiotami gospodarczymi funkcjonującymi na obszarze LGD</w:t>
            </w: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eastAsia="Times New Roman" w:hAnsi="Times New Roman" w:cs="Times New Roman"/>
                <w:color w:val="000000"/>
              </w:rPr>
            </w:pPr>
            <w:r w:rsidRPr="0074130F">
              <w:rPr>
                <w:rFonts w:ascii="Times New Roman" w:hAnsi="Times New Roman" w:cs="Times New Roman"/>
                <w:strike/>
                <w:color w:val="000000"/>
              </w:rPr>
              <w:t>428 621,18</w:t>
            </w:r>
            <w:r w:rsidRPr="00217016">
              <w:rPr>
                <w:rFonts w:ascii="Times New Roman" w:hAnsi="Times New Roman" w:cs="Times New Roman"/>
                <w:color w:val="000000"/>
              </w:rPr>
              <w:t xml:space="preserve"> </w:t>
            </w:r>
            <w:r w:rsidR="0074130F" w:rsidRPr="0074130F">
              <w:rPr>
                <w:rFonts w:ascii="Times New Roman" w:hAnsi="Times New Roman" w:cs="Times New Roman"/>
                <w:color w:val="FF0000"/>
              </w:rPr>
              <w:t>428428,8</w:t>
            </w:r>
            <w:r w:rsidR="0074130F">
              <w:rPr>
                <w:rFonts w:ascii="Times New Roman" w:hAnsi="Times New Roman" w:cs="Times New Roman"/>
                <w:color w:val="000000"/>
              </w:rPr>
              <w:t xml:space="preserve"> </w:t>
            </w:r>
            <w:r w:rsidRPr="00217016">
              <w:rPr>
                <w:rFonts w:ascii="Times New Roman" w:eastAsia="Times New Roman" w:hAnsi="Times New Roman" w:cs="Times New Roman"/>
                <w:color w:val="000000"/>
              </w:rPr>
              <w:t>euro</w:t>
            </w:r>
          </w:p>
          <w:p w:rsidR="00294BD0" w:rsidRPr="00217016" w:rsidRDefault="00294BD0">
            <w:pPr>
              <w:spacing w:after="0" w:line="240" w:lineRule="auto"/>
              <w:rPr>
                <w:rFonts w:ascii="Times New Roman" w:eastAsia="Times New Roman" w:hAnsi="Times New Roman" w:cs="Times New Roman"/>
                <w:color w:val="000000"/>
              </w:rPr>
            </w:pP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napToGrid w:val="0"/>
              <w:spacing w:after="0" w:line="240" w:lineRule="auto"/>
              <w:rPr>
                <w:color w:val="000000"/>
              </w:rPr>
            </w:pPr>
          </w:p>
          <w:p w:rsidR="00294BD0" w:rsidRPr="00217016" w:rsidRDefault="00294BD0">
            <w:pPr>
              <w:spacing w:after="0" w:line="240" w:lineRule="auto"/>
              <w:rPr>
                <w:color w:val="000000"/>
              </w:rPr>
            </w:pPr>
            <w:r w:rsidRPr="0074130F">
              <w:rPr>
                <w:rFonts w:ascii="Times New Roman" w:hAnsi="Times New Roman" w:cs="Times New Roman"/>
                <w:strike/>
                <w:color w:val="000000"/>
              </w:rPr>
              <w:t>428 621,18</w:t>
            </w:r>
            <w:r w:rsidR="0074130F">
              <w:rPr>
                <w:rFonts w:ascii="Times New Roman" w:hAnsi="Times New Roman" w:cs="Times New Roman"/>
                <w:strike/>
                <w:color w:val="000000"/>
              </w:rPr>
              <w:t xml:space="preserve"> </w:t>
            </w:r>
            <w:r w:rsidR="0074130F" w:rsidRPr="0074130F">
              <w:rPr>
                <w:rFonts w:ascii="Times New Roman" w:hAnsi="Times New Roman" w:cs="Times New Roman"/>
                <w:color w:val="FF0000"/>
              </w:rPr>
              <w:t>428428,8</w:t>
            </w:r>
            <w:r w:rsidR="0074130F">
              <w:rPr>
                <w:rFonts w:ascii="Times New Roman" w:hAnsi="Times New Roman" w:cs="Times New Roman"/>
                <w:strike/>
                <w:color w:val="000000"/>
              </w:rPr>
              <w:t xml:space="preserve"> </w:t>
            </w:r>
            <w:r w:rsidRPr="00217016">
              <w:rPr>
                <w:rFonts w:ascii="Times New Roman" w:hAnsi="Times New Roman" w:cs="Times New Roman"/>
                <w:color w:val="000000"/>
              </w:rPr>
              <w:t xml:space="preserve"> euro</w:t>
            </w:r>
          </w:p>
        </w:tc>
      </w:tr>
      <w:tr w:rsidR="00294BD0" w:rsidTr="006B2D4B">
        <w:trPr>
          <w:trHeight w:val="363"/>
        </w:trPr>
        <w:tc>
          <w:tcPr>
            <w:tcW w:w="3756"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hAnsi="Times New Roman" w:cs="Times New Roman"/>
                <w:color w:val="000000"/>
              </w:rPr>
            </w:pPr>
            <w:r w:rsidRPr="00217016">
              <w:rPr>
                <w:rFonts w:ascii="Times New Roman" w:eastAsia="Times New Roman" w:hAnsi="Times New Roman" w:cs="Times New Roman"/>
                <w:strike/>
                <w:color w:val="000000"/>
              </w:rPr>
              <w:t xml:space="preserve"> </w:t>
            </w:r>
          </w:p>
          <w:p w:rsidR="00294BD0" w:rsidRPr="00217016" w:rsidRDefault="00294BD0">
            <w:pPr>
              <w:spacing w:after="0" w:line="240" w:lineRule="auto"/>
              <w:rPr>
                <w:rFonts w:ascii="Times New Roman" w:eastAsia="Times New Roman" w:hAnsi="Times New Roman" w:cs="Times New Roman"/>
                <w:b/>
                <w:color w:val="000000"/>
              </w:rPr>
            </w:pPr>
            <w:r w:rsidRPr="00217016">
              <w:rPr>
                <w:rFonts w:ascii="Times New Roman" w:hAnsi="Times New Roman" w:cs="Times New Roman"/>
                <w:color w:val="000000"/>
              </w:rPr>
              <w:t>41 849,57 euro</w:t>
            </w:r>
          </w:p>
          <w:p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b/>
                <w:color w:val="000000"/>
              </w:rPr>
              <w:t xml:space="preserve"> </w:t>
            </w:r>
          </w:p>
          <w:p w:rsidR="00294BD0" w:rsidRPr="00217016" w:rsidRDefault="00294BD0">
            <w:pPr>
              <w:spacing w:after="0" w:line="240" w:lineRule="auto"/>
              <w:rPr>
                <w:rFonts w:ascii="Times New Roman" w:eastAsia="Times New Roman" w:hAnsi="Times New Roman" w:cs="Times New Roman"/>
                <w:color w:val="000000"/>
              </w:rPr>
            </w:pP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p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hAnsi="Times New Roman" w:cs="Times New Roman"/>
                <w:color w:val="000000"/>
              </w:rPr>
              <w:t>41 849,57 euro</w:t>
            </w:r>
          </w:p>
          <w:p w:rsidR="00294BD0" w:rsidRPr="00217016" w:rsidRDefault="00294BD0">
            <w:pPr>
              <w:spacing w:after="0" w:line="240" w:lineRule="auto"/>
              <w:rPr>
                <w:rFonts w:ascii="Times New Roman" w:eastAsia="Times New Roman" w:hAnsi="Times New Roman" w:cs="Times New Roman"/>
                <w:color w:val="000000"/>
              </w:rPr>
            </w:pPr>
          </w:p>
        </w:tc>
      </w:tr>
      <w:tr w:rsidR="00294BD0" w:rsidTr="006B2D4B">
        <w:tc>
          <w:tcPr>
            <w:tcW w:w="375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Rozwój stanu infrastruktury drogowej </w:t>
            </w: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eastAsia="Times New Roman" w:hAnsi="Times New Roman" w:cs="Times New Roman"/>
                <w:strike/>
                <w:color w:val="000000"/>
              </w:rPr>
            </w:pPr>
            <w:r w:rsidRPr="00217016">
              <w:rPr>
                <w:rFonts w:ascii="Times New Roman" w:eastAsia="Times New Roman" w:hAnsi="Times New Roman" w:cs="Times New Roman"/>
                <w:color w:val="000000"/>
              </w:rPr>
              <w:t>142 498,68 euro</w:t>
            </w: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pacing w:after="0" w:line="240" w:lineRule="auto"/>
              <w:rPr>
                <w:color w:val="000000"/>
              </w:rPr>
            </w:pPr>
            <w:r w:rsidRPr="00217016">
              <w:rPr>
                <w:rFonts w:ascii="Times New Roman" w:eastAsia="Times New Roman" w:hAnsi="Times New Roman" w:cs="Times New Roman"/>
                <w:color w:val="000000"/>
              </w:rPr>
              <w:t>142 498,68 euro</w:t>
            </w:r>
          </w:p>
        </w:tc>
      </w:tr>
      <w:tr w:rsidR="00294BD0" w:rsidTr="006B2D4B">
        <w:tc>
          <w:tcPr>
            <w:tcW w:w="375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120" w:line="240" w:lineRule="auto"/>
              <w:rPr>
                <w:rFonts w:ascii="Times New Roman" w:eastAsia="Times New Roman" w:hAnsi="Times New Roman" w:cs="Times New Roman"/>
                <w:color w:val="000000"/>
                <w:lang w:val="en-US" w:eastAsia="en-US" w:bidi="en-US"/>
              </w:rPr>
            </w:pPr>
            <w:r>
              <w:rPr>
                <w:rFonts w:ascii="Times New Roman" w:eastAsia="Times New Roman" w:hAnsi="Times New Roman" w:cs="Times New Roman"/>
                <w:b/>
                <w:color w:val="000000"/>
              </w:rPr>
              <w:t>Rozwój infrastruktury, turystycznej, rekreacyjnej oraz kulturalnej</w:t>
            </w: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eastAsia="Times New Roman" w:hAnsi="Times New Roman" w:cs="Times New Roman"/>
                <w:strike/>
                <w:color w:val="000000"/>
              </w:rPr>
            </w:pPr>
            <w:r w:rsidRPr="00217016">
              <w:rPr>
                <w:rFonts w:ascii="Times New Roman" w:eastAsia="Times New Roman" w:hAnsi="Times New Roman" w:cs="Times New Roman"/>
                <w:color w:val="000000"/>
                <w:lang w:val="en-US" w:eastAsia="en-US" w:bidi="en-US"/>
              </w:rPr>
              <w:t>576 639,04 euro</w:t>
            </w: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rPr>
            </w:pPr>
          </w:p>
          <w:p w:rsidR="00294BD0" w:rsidRPr="00217016" w:rsidRDefault="00294BD0">
            <w:pPr>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444171">
            <w:pPr>
              <w:snapToGrid w:val="0"/>
              <w:spacing w:after="0" w:line="240" w:lineRule="auto"/>
              <w:rPr>
                <w:rFonts w:ascii="Times New Roman" w:eastAsia="Times New Roman" w:hAnsi="Times New Roman" w:cs="Times New Roman"/>
                <w:color w:val="000000"/>
              </w:rPr>
            </w:pPr>
            <w:r w:rsidRPr="00444171">
              <w:rPr>
                <w:rFonts w:ascii="Times New Roman" w:eastAsia="Times New Roman" w:hAnsi="Times New Roman" w:cs="Times New Roman"/>
                <w:color w:val="000000"/>
              </w:rPr>
              <w:t>4</w:t>
            </w:r>
            <w:r w:rsidR="0087265C">
              <w:rPr>
                <w:rFonts w:ascii="Times New Roman" w:eastAsia="Times New Roman" w:hAnsi="Times New Roman" w:cs="Times New Roman"/>
                <w:color w:val="000000"/>
              </w:rPr>
              <w:t> </w:t>
            </w:r>
            <w:r w:rsidRPr="00444171">
              <w:rPr>
                <w:rFonts w:ascii="Times New Roman" w:eastAsia="Times New Roman" w:hAnsi="Times New Roman" w:cs="Times New Roman"/>
                <w:color w:val="000000"/>
              </w:rPr>
              <w:t>972</w:t>
            </w:r>
            <w:r w:rsidR="0087265C">
              <w:rPr>
                <w:rFonts w:ascii="Times New Roman" w:eastAsia="Times New Roman" w:hAnsi="Times New Roman" w:cs="Times New Roman"/>
                <w:color w:val="000000"/>
              </w:rPr>
              <w:t xml:space="preserve"> </w:t>
            </w:r>
            <w:r w:rsidRPr="00444171">
              <w:rPr>
                <w:rFonts w:ascii="Times New Roman" w:eastAsia="Times New Roman" w:hAnsi="Times New Roman" w:cs="Times New Roman"/>
                <w:color w:val="000000"/>
              </w:rPr>
              <w:t>49,69 euro</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strike/>
                <w:color w:val="000000"/>
                <w:lang w:val="en-US" w:eastAsia="en-US" w:bidi="en-US"/>
              </w:rPr>
            </w:pPr>
          </w:p>
          <w:p w:rsidR="00294BD0" w:rsidRPr="00217016" w:rsidRDefault="00294BD0">
            <w:pPr>
              <w:spacing w:after="0" w:line="240" w:lineRule="auto"/>
              <w:rPr>
                <w:color w:val="000000"/>
              </w:rPr>
            </w:pPr>
            <w:r w:rsidRPr="0074130F">
              <w:rPr>
                <w:rFonts w:ascii="Times New Roman" w:eastAsia="Times New Roman" w:hAnsi="Times New Roman" w:cs="Times New Roman"/>
                <w:strike/>
                <w:color w:val="000000"/>
                <w:lang w:eastAsia="en-US" w:bidi="en-US"/>
              </w:rPr>
              <w:t xml:space="preserve"> 1</w:t>
            </w:r>
            <w:r w:rsidR="0087265C" w:rsidRPr="0074130F">
              <w:rPr>
                <w:rFonts w:ascii="Times New Roman" w:eastAsia="Times New Roman" w:hAnsi="Times New Roman" w:cs="Times New Roman"/>
                <w:strike/>
                <w:color w:val="000000"/>
                <w:lang w:eastAsia="en-US" w:bidi="en-US"/>
              </w:rPr>
              <w:t> </w:t>
            </w:r>
            <w:r w:rsidRPr="0074130F">
              <w:rPr>
                <w:rFonts w:ascii="Times New Roman" w:eastAsia="Times New Roman" w:hAnsi="Times New Roman" w:cs="Times New Roman"/>
                <w:strike/>
                <w:color w:val="000000"/>
                <w:lang w:eastAsia="en-US" w:bidi="en-US"/>
              </w:rPr>
              <w:t>073</w:t>
            </w:r>
            <w:r w:rsidR="0087265C" w:rsidRPr="0074130F">
              <w:rPr>
                <w:rFonts w:ascii="Times New Roman" w:eastAsia="Times New Roman" w:hAnsi="Times New Roman" w:cs="Times New Roman"/>
                <w:strike/>
                <w:color w:val="000000"/>
                <w:lang w:eastAsia="en-US" w:bidi="en-US"/>
              </w:rPr>
              <w:t xml:space="preserve"> </w:t>
            </w:r>
            <w:r w:rsidRPr="0074130F">
              <w:rPr>
                <w:rFonts w:ascii="Times New Roman" w:eastAsia="Times New Roman" w:hAnsi="Times New Roman" w:cs="Times New Roman"/>
                <w:strike/>
                <w:color w:val="000000"/>
                <w:lang w:eastAsia="en-US" w:bidi="en-US"/>
              </w:rPr>
              <w:t>888,73</w:t>
            </w:r>
            <w:r w:rsidRPr="00217016">
              <w:rPr>
                <w:rFonts w:ascii="Times New Roman" w:eastAsia="Times New Roman" w:hAnsi="Times New Roman" w:cs="Times New Roman"/>
                <w:color w:val="000000"/>
                <w:lang w:eastAsia="en-US" w:bidi="en-US"/>
              </w:rPr>
              <w:t xml:space="preserve"> </w:t>
            </w:r>
            <w:r w:rsidR="0074130F" w:rsidRPr="0074130F">
              <w:rPr>
                <w:rFonts w:ascii="Times New Roman" w:eastAsia="Times New Roman" w:hAnsi="Times New Roman" w:cs="Times New Roman"/>
                <w:color w:val="FF0000"/>
                <w:lang w:eastAsia="en-US" w:bidi="en-US"/>
              </w:rPr>
              <w:t>1009395,2</w:t>
            </w:r>
            <w:r w:rsidR="0074130F">
              <w:rPr>
                <w:rFonts w:ascii="Times New Roman" w:eastAsia="Times New Roman" w:hAnsi="Times New Roman" w:cs="Times New Roman"/>
                <w:color w:val="000000"/>
                <w:lang w:eastAsia="en-US" w:bidi="en-US"/>
              </w:rPr>
              <w:t xml:space="preserve"> </w:t>
            </w:r>
            <w:r w:rsidRPr="00217016">
              <w:rPr>
                <w:rFonts w:ascii="Times New Roman" w:eastAsia="Times New Roman" w:hAnsi="Times New Roman" w:cs="Times New Roman"/>
                <w:color w:val="000000"/>
                <w:lang w:eastAsia="en-US" w:bidi="en-US"/>
              </w:rPr>
              <w:t>euro</w:t>
            </w:r>
          </w:p>
        </w:tc>
      </w:tr>
      <w:tr w:rsidR="00294BD0" w:rsidTr="006B2D4B">
        <w:tc>
          <w:tcPr>
            <w:tcW w:w="375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Rozwój kulturalny i turystyczny regionu</w:t>
            </w: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11 260,83 euro</w:t>
            </w: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294BD0">
            <w:pPr>
              <w:spacing w:after="0" w:line="240" w:lineRule="auto"/>
              <w:rPr>
                <w:color w:val="000000"/>
              </w:rPr>
            </w:pPr>
            <w:r w:rsidRPr="00217016">
              <w:rPr>
                <w:rFonts w:ascii="Times New Roman" w:eastAsia="Times New Roman" w:hAnsi="Times New Roman" w:cs="Times New Roman"/>
                <w:color w:val="000000"/>
              </w:rPr>
              <w:t>11 260,83 euro</w:t>
            </w:r>
          </w:p>
        </w:tc>
      </w:tr>
      <w:tr w:rsidR="00294BD0" w:rsidTr="006B2D4B">
        <w:tc>
          <w:tcPr>
            <w:tcW w:w="3756" w:type="dxa"/>
            <w:gridSpan w:val="2"/>
            <w:tcBorders>
              <w:top w:val="single" w:sz="4" w:space="0" w:color="000000"/>
              <w:left w:val="single" w:sz="4" w:space="0" w:color="000000"/>
              <w:bottom w:val="single" w:sz="4" w:space="0" w:color="000000"/>
            </w:tcBorders>
            <w:shd w:val="clear" w:color="auto" w:fill="auto"/>
          </w:tcPr>
          <w:p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Zwiększenie zaangażowania i współpracy mieszkańców</w:t>
            </w:r>
          </w:p>
        </w:tc>
        <w:tc>
          <w:tcPr>
            <w:tcW w:w="1426" w:type="dxa"/>
            <w:gridSpan w:val="2"/>
            <w:tcBorders>
              <w:top w:val="single" w:sz="4" w:space="0" w:color="000000"/>
              <w:left w:val="single" w:sz="4" w:space="0" w:color="000000"/>
              <w:bottom w:val="single" w:sz="4" w:space="0" w:color="000000"/>
            </w:tcBorders>
            <w:shd w:val="clear" w:color="auto" w:fill="auto"/>
          </w:tcPr>
          <w:p w:rsidR="00294BD0" w:rsidRPr="00217016" w:rsidRDefault="00294BD0">
            <w:pPr>
              <w:spacing w:after="0" w:line="240" w:lineRule="auto"/>
              <w:rPr>
                <w:rFonts w:ascii="Times New Roman" w:eastAsia="Times New Roman" w:hAnsi="Times New Roman" w:cs="Times New Roman"/>
                <w:color w:val="000000"/>
                <w:lang w:eastAsia="en-US" w:bidi="en-US"/>
              </w:rPr>
            </w:pPr>
            <w:r w:rsidRPr="00217016">
              <w:rPr>
                <w:rFonts w:ascii="Times New Roman" w:eastAsia="Times New Roman" w:hAnsi="Times New Roman" w:cs="Times New Roman"/>
                <w:color w:val="000000"/>
              </w:rPr>
              <w:t>46 880,40 euro</w:t>
            </w:r>
          </w:p>
        </w:tc>
        <w:tc>
          <w:tcPr>
            <w:tcW w:w="1481" w:type="dxa"/>
            <w:tcBorders>
              <w:top w:val="single" w:sz="4" w:space="0" w:color="000000"/>
              <w:left w:val="single" w:sz="4" w:space="0" w:color="000000"/>
              <w:bottom w:val="single" w:sz="4" w:space="0" w:color="000000"/>
            </w:tcBorders>
            <w:shd w:val="clear" w:color="auto" w:fill="auto"/>
          </w:tcPr>
          <w:p w:rsidR="00294BD0" w:rsidRPr="00217016" w:rsidRDefault="008B0474">
            <w:pPr>
              <w:spacing w:after="0" w:line="240" w:lineRule="auto"/>
              <w:rPr>
                <w:rFonts w:ascii="Times New Roman" w:eastAsia="Times New Roman" w:hAnsi="Times New Roman" w:cs="Times New Roman"/>
                <w:b/>
                <w:color w:val="000000"/>
              </w:rPr>
            </w:pPr>
            <w:r w:rsidRPr="006073C6">
              <w:rPr>
                <w:rFonts w:ascii="Times New Roman" w:eastAsia="Times New Roman" w:hAnsi="Times New Roman" w:cs="Times New Roman"/>
                <w:strike/>
                <w:color w:val="000000"/>
                <w:lang w:eastAsia="en-US" w:bidi="en-US"/>
              </w:rPr>
              <w:t>46</w:t>
            </w:r>
            <w:r w:rsidR="00107534" w:rsidRPr="006073C6">
              <w:rPr>
                <w:rFonts w:ascii="Times New Roman" w:eastAsia="Times New Roman" w:hAnsi="Times New Roman" w:cs="Times New Roman"/>
                <w:strike/>
                <w:color w:val="000000"/>
                <w:lang w:eastAsia="en-US" w:bidi="en-US"/>
              </w:rPr>
              <w:t xml:space="preserve"> </w:t>
            </w:r>
            <w:r w:rsidRPr="006073C6">
              <w:rPr>
                <w:rFonts w:ascii="Times New Roman" w:eastAsia="Times New Roman" w:hAnsi="Times New Roman" w:cs="Times New Roman"/>
                <w:strike/>
                <w:color w:val="000000"/>
                <w:lang w:eastAsia="en-US" w:bidi="en-US"/>
              </w:rPr>
              <w:t>096,78</w:t>
            </w:r>
            <w:r w:rsidRPr="00217016">
              <w:rPr>
                <w:rFonts w:ascii="Times New Roman" w:eastAsia="Times New Roman" w:hAnsi="Times New Roman" w:cs="Times New Roman"/>
                <w:color w:val="000000"/>
                <w:lang w:eastAsia="en-US" w:bidi="en-US"/>
              </w:rPr>
              <w:t xml:space="preserve"> </w:t>
            </w:r>
            <w:r w:rsidR="006073C6">
              <w:rPr>
                <w:rFonts w:ascii="Times New Roman" w:eastAsia="Times New Roman" w:hAnsi="Times New Roman" w:cs="Times New Roman"/>
                <w:color w:val="000000"/>
                <w:lang w:eastAsia="en-US" w:bidi="en-US"/>
              </w:rPr>
              <w:t>425</w:t>
            </w:r>
            <w:r w:rsidR="004E0BB6">
              <w:rPr>
                <w:rFonts w:ascii="Times New Roman" w:eastAsia="Times New Roman" w:hAnsi="Times New Roman" w:cs="Times New Roman"/>
                <w:color w:val="000000"/>
                <w:lang w:eastAsia="en-US" w:bidi="en-US"/>
              </w:rPr>
              <w:t>67</w:t>
            </w:r>
            <w:r w:rsidR="006073C6">
              <w:rPr>
                <w:rFonts w:ascii="Times New Roman" w:eastAsia="Times New Roman" w:hAnsi="Times New Roman" w:cs="Times New Roman"/>
                <w:color w:val="000000"/>
                <w:lang w:eastAsia="en-US" w:bidi="en-US"/>
              </w:rPr>
              <w:t>,</w:t>
            </w:r>
            <w:r w:rsidR="004E0BB6">
              <w:rPr>
                <w:rFonts w:ascii="Times New Roman" w:eastAsia="Times New Roman" w:hAnsi="Times New Roman" w:cs="Times New Roman"/>
                <w:color w:val="000000"/>
                <w:lang w:eastAsia="en-US" w:bidi="en-US"/>
              </w:rPr>
              <w:t>58</w:t>
            </w:r>
            <w:r w:rsidR="006073C6">
              <w:rPr>
                <w:rFonts w:ascii="Times New Roman" w:eastAsia="Times New Roman" w:hAnsi="Times New Roman" w:cs="Times New Roman"/>
                <w:color w:val="000000"/>
                <w:lang w:eastAsia="en-US" w:bidi="en-US"/>
              </w:rPr>
              <w:t xml:space="preserve"> </w:t>
            </w:r>
            <w:r w:rsidR="00294BD0" w:rsidRPr="00217016">
              <w:rPr>
                <w:rFonts w:ascii="Times New Roman" w:eastAsia="Times New Roman" w:hAnsi="Times New Roman" w:cs="Times New Roman"/>
                <w:color w:val="000000"/>
                <w:lang w:eastAsia="en-US" w:bidi="en-US"/>
              </w:rPr>
              <w:t>euro</w:t>
            </w:r>
          </w:p>
          <w:p w:rsidR="00294BD0" w:rsidRPr="00217016" w:rsidRDefault="00294BD0">
            <w:pPr>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auto"/>
          </w:tcPr>
          <w:p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Pr="00217016" w:rsidRDefault="0002355F">
            <w:pPr>
              <w:spacing w:after="0" w:line="240" w:lineRule="auto"/>
              <w:rPr>
                <w:rFonts w:ascii="Times New Roman" w:eastAsia="Times New Roman" w:hAnsi="Times New Roman" w:cs="Times New Roman"/>
                <w:color w:val="000000"/>
              </w:rPr>
            </w:pPr>
            <w:r w:rsidRPr="004419F4">
              <w:rPr>
                <w:rFonts w:ascii="Times New Roman" w:eastAsia="Times New Roman" w:hAnsi="Times New Roman" w:cs="Times New Roman"/>
                <w:strike/>
                <w:color w:val="000000"/>
              </w:rPr>
              <w:t>92 977,18</w:t>
            </w:r>
            <w:r w:rsidRPr="00217016">
              <w:rPr>
                <w:rFonts w:ascii="Times New Roman" w:eastAsia="Times New Roman" w:hAnsi="Times New Roman" w:cs="Times New Roman"/>
                <w:color w:val="000000"/>
                <w:lang w:eastAsia="en-US" w:bidi="en-US"/>
              </w:rPr>
              <w:t xml:space="preserve"> </w:t>
            </w:r>
            <w:r w:rsidR="004419F4">
              <w:rPr>
                <w:rFonts w:ascii="Times New Roman" w:eastAsia="Times New Roman" w:hAnsi="Times New Roman" w:cs="Times New Roman"/>
                <w:color w:val="000000"/>
                <w:lang w:eastAsia="en-US" w:bidi="en-US"/>
              </w:rPr>
              <w:t xml:space="preserve"> </w:t>
            </w:r>
            <w:r w:rsidR="004419F4" w:rsidRPr="004419F4">
              <w:rPr>
                <w:rFonts w:ascii="Times New Roman" w:eastAsia="Times New Roman" w:hAnsi="Times New Roman" w:cs="Times New Roman"/>
                <w:color w:val="FF0000"/>
                <w:lang w:eastAsia="en-US" w:bidi="en-US"/>
              </w:rPr>
              <w:t>894</w:t>
            </w:r>
            <w:r w:rsidR="004E0BB6">
              <w:rPr>
                <w:rFonts w:ascii="Times New Roman" w:eastAsia="Times New Roman" w:hAnsi="Times New Roman" w:cs="Times New Roman"/>
                <w:color w:val="FF0000"/>
                <w:lang w:eastAsia="en-US" w:bidi="en-US"/>
              </w:rPr>
              <w:t>47</w:t>
            </w:r>
            <w:r w:rsidR="004419F4" w:rsidRPr="004419F4">
              <w:rPr>
                <w:rFonts w:ascii="Times New Roman" w:eastAsia="Times New Roman" w:hAnsi="Times New Roman" w:cs="Times New Roman"/>
                <w:color w:val="FF0000"/>
                <w:lang w:eastAsia="en-US" w:bidi="en-US"/>
              </w:rPr>
              <w:t>,</w:t>
            </w:r>
            <w:r w:rsidR="004E0BB6">
              <w:rPr>
                <w:rFonts w:ascii="Times New Roman" w:eastAsia="Times New Roman" w:hAnsi="Times New Roman" w:cs="Times New Roman"/>
                <w:color w:val="FF0000"/>
                <w:lang w:eastAsia="en-US" w:bidi="en-US"/>
              </w:rPr>
              <w:t>98</w:t>
            </w:r>
            <w:r w:rsidR="004419F4">
              <w:rPr>
                <w:rFonts w:ascii="Times New Roman" w:eastAsia="Times New Roman" w:hAnsi="Times New Roman" w:cs="Times New Roman"/>
                <w:color w:val="000000"/>
                <w:lang w:eastAsia="en-US" w:bidi="en-US"/>
              </w:rPr>
              <w:t xml:space="preserve"> </w:t>
            </w:r>
            <w:r w:rsidRPr="00217016">
              <w:rPr>
                <w:rFonts w:ascii="Times New Roman" w:eastAsia="Times New Roman" w:hAnsi="Times New Roman" w:cs="Times New Roman"/>
                <w:color w:val="000000"/>
                <w:lang w:eastAsia="en-US" w:bidi="en-US"/>
              </w:rPr>
              <w:t>euro</w:t>
            </w:r>
          </w:p>
        </w:tc>
      </w:tr>
    </w:tbl>
    <w:p w:rsidR="00294BD0" w:rsidRDefault="00294BD0">
      <w:pPr>
        <w:spacing w:after="0"/>
        <w:rPr>
          <w:rFonts w:ascii="Times New Roman" w:hAnsi="Times New Roman" w:cs="Times New Roman"/>
          <w:b/>
        </w:rPr>
      </w:pPr>
      <w:r>
        <w:rPr>
          <w:rFonts w:ascii="Times New Roman" w:hAnsi="Times New Roman" w:cs="Times New Roman"/>
          <w:i/>
        </w:rPr>
        <w:t xml:space="preserve">        (Tabela nr 27 – Budżet celów szczegółowych LSR - opracowanie własne LGD)</w:t>
      </w:r>
    </w:p>
    <w:p w:rsidR="00294BD0" w:rsidRDefault="00294BD0">
      <w:pPr>
        <w:spacing w:after="0"/>
        <w:rPr>
          <w:rFonts w:ascii="Times New Roman" w:hAnsi="Times New Roman" w:cs="Times New Roman"/>
          <w:b/>
        </w:rPr>
      </w:pPr>
    </w:p>
    <w:p w:rsidR="00294BD0" w:rsidRDefault="00294BD0">
      <w:pPr>
        <w:spacing w:after="0"/>
        <w:rPr>
          <w:rFonts w:ascii="Times New Roman" w:eastAsia="Times New Roman" w:hAnsi="Times New Roman" w:cs="Times New Roman"/>
          <w:b/>
          <w:color w:val="000000"/>
        </w:rPr>
      </w:pPr>
      <w:r>
        <w:rPr>
          <w:rFonts w:ascii="Times New Roman" w:hAnsi="Times New Roman" w:cs="Times New Roman"/>
          <w:b/>
          <w:color w:val="2E74B5"/>
        </w:rPr>
        <w:t>R</w:t>
      </w:r>
      <w:r>
        <w:rPr>
          <w:rFonts w:ascii="Times New Roman" w:eastAsia="Times New Roman" w:hAnsi="Times New Roman" w:cs="Times New Roman"/>
          <w:b/>
          <w:color w:val="2E74B5"/>
        </w:rPr>
        <w:t>ozdział VIII. Budżet LSR</w:t>
      </w:r>
    </w:p>
    <w:p w:rsidR="00294BD0" w:rsidRDefault="00294BD0">
      <w:pPr>
        <w:autoSpaceDE w:val="0"/>
        <w:spacing w:after="0" w:line="240" w:lineRule="auto"/>
        <w:rPr>
          <w:rFonts w:ascii="Times New Roman" w:eastAsia="Times New Roman" w:hAnsi="Times New Roman" w:cs="Times New Roman"/>
          <w:b/>
          <w:color w:val="000000"/>
        </w:rPr>
      </w:pPr>
    </w:p>
    <w:p w:rsidR="00294BD0" w:rsidRDefault="00294BD0">
      <w:pPr>
        <w:pStyle w:val="Akapitzlist"/>
        <w:numPr>
          <w:ilvl w:val="3"/>
          <w:numId w:val="41"/>
        </w:numPr>
        <w:autoSpaceDE w:val="0"/>
        <w:ind w:left="284" w:hanging="284"/>
        <w:rPr>
          <w:rFonts w:ascii="Times New Roman" w:hAnsi="Times New Roman"/>
          <w:color w:val="000000"/>
        </w:rPr>
      </w:pPr>
      <w:r>
        <w:rPr>
          <w:rFonts w:ascii="Times New Roman" w:hAnsi="Times New Roman"/>
          <w:b/>
        </w:rPr>
        <w:t xml:space="preserve">Ogólna charakterystyka budżetu </w:t>
      </w:r>
    </w:p>
    <w:p w:rsidR="00294BD0" w:rsidRDefault="00294BD0">
      <w:pPr>
        <w:autoSpaceDE w:val="0"/>
        <w:ind w:left="284"/>
        <w:jc w:val="both"/>
        <w:rPr>
          <w:rFonts w:ascii="Times New Roman" w:eastAsia="Times New Roman" w:hAnsi="Times New Roman" w:cs="Times New Roman"/>
          <w:b/>
        </w:rPr>
      </w:pPr>
      <w:r>
        <w:rPr>
          <w:rFonts w:ascii="Times New Roman" w:hAnsi="Times New Roman" w:cs="Times New Roman"/>
          <w:color w:val="000000"/>
        </w:rPr>
        <w:t xml:space="preserve">Kwota budżetu określona została na podstawie ustawy z dnia 20 lutego 2015r. o rozwoju lokalnych z udziałem społeczności lokalnej. Łączna wysokość wsparci określona została na poziomie 9.509.500 zł. Kwotę tą stanowią środki zaplanowane na realizację LSR w wysokości 7.600.000 zł, środki zaplanowane na realizację projektów współpracy </w:t>
      </w:r>
      <w:r>
        <w:rPr>
          <w:rFonts w:ascii="Times New Roman" w:hAnsi="Times New Roman" w:cs="Times New Roman"/>
        </w:rPr>
        <w:t>z innymi LGD w wysokości 152.000 zł (2% budżetu),</w:t>
      </w:r>
      <w:r>
        <w:rPr>
          <w:rFonts w:ascii="Times New Roman" w:hAnsi="Times New Roman" w:cs="Times New Roman"/>
          <w:color w:val="000000"/>
        </w:rPr>
        <w:t xml:space="preserve"> środki na koszty bieżące w wysokości 1.757.500 zł. Aktywizacja realizowana będzie przez pracowników biura bez konieczności ponoszenia wydatków na ten cel. Budżet LSR wskazuje także na Europejski Fundusz Rolny na rzecz Rozwoju Obszarów Wiejskich jako wiodący, a tym samym na Program Rozwoju Obszarów Wiejskich 2014-2020 jako na podstawowe źródło finansowania działań określonych w Strategii.</w:t>
      </w:r>
    </w:p>
    <w:p w:rsidR="00294BD0" w:rsidRDefault="00294BD0">
      <w:pPr>
        <w:numPr>
          <w:ilvl w:val="0"/>
          <w:numId w:val="74"/>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rPr>
        <w:t xml:space="preserve">Krótki opis powiązania budżetu z celami LSR </w:t>
      </w:r>
    </w:p>
    <w:p w:rsidR="00294BD0" w:rsidRDefault="00294BD0">
      <w:pPr>
        <w:autoSpaceDE w:val="0"/>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rPr>
        <w:t xml:space="preserve">Budżet został skonstruowany w taki sposób, aby każdy z zakładanych celów szczegółowych mógł być zrealizowany za pomocą określonego zakresu tj. wdrażania LSR, projektów współpracy bądź kosztów bieżących. Z uwagi na fakt, że większość działań aktywizacyjnych będzie prowadzona przez pracowników biura w ramach ich obowiązków nie przewidziano ponoszenia kosztów w tym zakresie. Zdecydowana większość celów szczegółowych będzie realizowana w ramach wdrażania LSR. Cele szczegółowe, takie jak </w:t>
      </w:r>
      <w:r>
        <w:rPr>
          <w:rFonts w:ascii="Times New Roman" w:hAnsi="Times New Roman" w:cs="Times New Roman"/>
          <w:i/>
        </w:rPr>
        <w:t xml:space="preserve">rozwój usług edukacyjnych </w:t>
      </w:r>
      <w:r>
        <w:rPr>
          <w:rFonts w:ascii="Times New Roman" w:hAnsi="Times New Roman" w:cs="Times New Roman"/>
        </w:rPr>
        <w:t xml:space="preserve">czy </w:t>
      </w:r>
      <w:r>
        <w:rPr>
          <w:rFonts w:ascii="Times New Roman" w:hAnsi="Times New Roman" w:cs="Times New Roman"/>
          <w:i/>
        </w:rPr>
        <w:t xml:space="preserve">rozwój kulturalny i turystyczny regionu </w:t>
      </w:r>
      <w:r>
        <w:rPr>
          <w:rFonts w:ascii="Times New Roman" w:hAnsi="Times New Roman" w:cs="Times New Roman"/>
        </w:rPr>
        <w:t>zostaną osiągnięte między innymi poprzez realizację projektów współpracy. Natomiast w ramach kosztów bieżących będą realizowane między innymi zadania związane z organizacją szkoleń i doradztwa, działania aktywizacyjne oraz te zawarte w planie komunikacyjnym. Budżet przewidziany na realizację celów szczegółowych w ramach wdrażania LSR znajduje się w rozdziale VII Plan Działania.</w:t>
      </w:r>
    </w:p>
    <w:p w:rsidR="00294BD0" w:rsidRDefault="00294BD0">
      <w:pPr>
        <w:autoSpaceDE w:val="0"/>
        <w:spacing w:after="0" w:line="240" w:lineRule="auto"/>
        <w:rPr>
          <w:rFonts w:ascii="Times New Roman" w:eastAsia="Times New Roman" w:hAnsi="Times New Roman" w:cs="Times New Roman"/>
          <w:b/>
          <w:color w:val="000000"/>
        </w:rPr>
      </w:pPr>
    </w:p>
    <w:p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2E74B5"/>
        </w:rPr>
        <w:t>Rozdział IX Plan komunikacji</w:t>
      </w:r>
    </w:p>
    <w:p w:rsidR="00294BD0" w:rsidRDefault="00294BD0">
      <w:pPr>
        <w:autoSpaceDE w:val="0"/>
        <w:spacing w:after="0"/>
        <w:jc w:val="both"/>
        <w:rPr>
          <w:rFonts w:ascii="Times New Roman" w:eastAsia="Times New Roman" w:hAnsi="Times New Roman" w:cs="Times New Roman"/>
          <w:color w:val="000000"/>
        </w:rPr>
      </w:pPr>
    </w:p>
    <w:p w:rsidR="00294BD0" w:rsidRDefault="00294BD0">
      <w:pPr>
        <w:numPr>
          <w:ilvl w:val="0"/>
          <w:numId w:val="75"/>
        </w:numPr>
        <w:autoSpaceDE w:val="0"/>
        <w:spacing w:after="0"/>
        <w:ind w:left="284" w:hanging="284"/>
        <w:jc w:val="both"/>
        <w:rPr>
          <w:rFonts w:ascii="Times New Roman" w:eastAsia="Times New Roman" w:hAnsi="Times New Roman" w:cs="Times New Roman"/>
          <w:color w:val="000000"/>
        </w:rPr>
      </w:pPr>
      <w:r>
        <w:rPr>
          <w:rFonts w:ascii="Times New Roman" w:hAnsi="Times New Roman" w:cs="Times New Roman"/>
          <w:b/>
          <w:color w:val="000000"/>
        </w:rPr>
        <w:t xml:space="preserve">Działania komunikacyjne oraz odpowiadające im środki przekazu uwzględniające różnorodne rozwiązania komunikacyjne,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Działania komunikacyjne składać się będą z dwóch typów działań realizowanych równolegle polegających na:</w:t>
      </w:r>
    </w:p>
    <w:p w:rsidR="00294BD0" w:rsidRDefault="00294BD0">
      <w:pPr>
        <w:numPr>
          <w:ilvl w:val="0"/>
          <w:numId w:val="46"/>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informowaniu ogółu społeczeństwa, potencjalnych Beneficjentów i uczestników projektów o możliwości jakie wnosi EFRROW,</w:t>
      </w:r>
    </w:p>
    <w:p w:rsidR="00294BD0" w:rsidRDefault="00294BD0">
      <w:pPr>
        <w:numPr>
          <w:ilvl w:val="0"/>
          <w:numId w:val="46"/>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promowaniu Funduszy Europejskich w tym EFRROW jako marki wśród mieszkańców LGD, ze szczególnym uwzględnieniem promocji dotychczasowych efektów realizowanych inwestycji, w tym źródle ich dofinansowania. </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Działania te prowadzone będą wśród wszystkich grup docelowych określonych w PROW 2014-2020 z terenu LGD poprzez: </w:t>
      </w:r>
    </w:p>
    <w:p w:rsidR="00294BD0" w:rsidRDefault="00294BD0">
      <w:pPr>
        <w:numPr>
          <w:ilvl w:val="0"/>
          <w:numId w:val="22"/>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Prowadzenie kampanii informacyjnej – kampania informacyjna będzie prowadzona od momentu ogłoszenia naboru do jego zakończenia. Głównym jej celem będzie poinformowanie o terminie i miejscu składania wniosków, form wsparcia, zakresu tematycznego operacji; warunków udzielanego wsparcia, kryteriów wyboru operacji/grantów wraz ze wskazaniem minimalnej liczby punktów, której uzyskanie jest warunkiem wyboru operacji; o wymaganych dokumentach, potwierdzających spełnienie warunków udzielenia wsparcia; o wysokości limitu środków w ramach ogłaszanego naboru; o miejscu udostępnienia Strategii Lokalnej Kierowanej przez Społeczność, formularza wniosku o udzielenie wsparcia, formularza wniosku o płatność oraz formularza umowy o udzielenie wsparcia; miejscu udostępnienia procedury oceny wniosku, możliwościach uczestnictwa w cyklu szkoleniowym. Zakrojona na tak szeroką skalę kampania informacyjna pozwoli dotrzeć do wszystkich docelowych grup, którzy są jednocześnie potencjalnymi beneficjentami. Poza tym przekazywanie informacji do Powiatowych Urzędów Pracy oraz współpraca z nimi w tym zakresie pozwoli dotrzeć do grup defaworyzowanych pod kątem dostępu do rynku pracy. To zadanie realizuje 1. Cel szczegółowy. Do tego celu zostaną wykorzystane następujące narzędzia:</w:t>
      </w:r>
    </w:p>
    <w:p w:rsidR="00294BD0" w:rsidRDefault="00294BD0">
      <w:pPr>
        <w:numPr>
          <w:ilvl w:val="0"/>
          <w:numId w:val="3"/>
        </w:numPr>
        <w:tabs>
          <w:tab w:val="left" w:pos="1134"/>
        </w:tabs>
        <w:autoSpaceDE w:val="0"/>
        <w:spacing w:after="0" w:line="240" w:lineRule="auto"/>
        <w:ind w:hanging="11"/>
        <w:jc w:val="both"/>
        <w:rPr>
          <w:rFonts w:ascii="Times New Roman" w:eastAsia="Times New Roman" w:hAnsi="Times New Roman" w:cs="Times New Roman"/>
        </w:rPr>
      </w:pPr>
      <w:r>
        <w:rPr>
          <w:rFonts w:ascii="Times New Roman" w:eastAsia="Times New Roman" w:hAnsi="Times New Roman" w:cs="Times New Roman"/>
        </w:rPr>
        <w:t>Prowadzenie i aktualizowanie strony internetowej</w:t>
      </w:r>
      <w:r>
        <w:rPr>
          <w:rFonts w:ascii="Times New Roman" w:hAnsi="Times New Roman" w:cs="Times New Roman"/>
        </w:rPr>
        <w:t xml:space="preserve"> </w:t>
      </w:r>
      <w:hyperlink r:id="rId24" w:history="1">
        <w:r>
          <w:rPr>
            <w:rStyle w:val="Hipercze"/>
            <w:rFonts w:ascii="Times New Roman" w:eastAsia="Times New Roman" w:hAnsi="Times New Roman" w:cs="Times New Roman"/>
          </w:rPr>
          <w:t>www.Bory.org.pl</w:t>
        </w:r>
      </w:hyperlink>
      <w:r>
        <w:rPr>
          <w:rFonts w:ascii="Times New Roman" w:eastAsia="Times New Roman" w:hAnsi="Times New Roman" w:cs="Times New Roman"/>
          <w:u w:val="single"/>
        </w:rPr>
        <w:t>;</w:t>
      </w:r>
    </w:p>
    <w:p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 xml:space="preserve">Prowadzenie i aktualizowanie Fanpage na </w:t>
      </w:r>
      <w:hyperlink r:id="rId25" w:history="1">
        <w:r>
          <w:rPr>
            <w:rStyle w:val="Hipercze"/>
            <w:rFonts w:ascii="Times New Roman" w:eastAsia="Times New Roman" w:hAnsi="Times New Roman" w:cs="Times New Roman"/>
          </w:rPr>
          <w:t>www.Facebook.com/BoryDolnośląskie</w:t>
        </w:r>
      </w:hyperlink>
      <w:r>
        <w:rPr>
          <w:rFonts w:ascii="Times New Roman" w:eastAsia="Times New Roman" w:hAnsi="Times New Roman" w:cs="Times New Roman"/>
          <w:u w:val="single"/>
        </w:rPr>
        <w:t>;</w:t>
      </w:r>
    </w:p>
    <w:p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Prowadzenie bieżącej informacji w biurze LGD (telefoniczna, mailowo, osobiście);</w:t>
      </w:r>
    </w:p>
    <w:p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Powiatowych Urzędów Pracy z prośbą o zamieszczenie informacji na ich stronie internetowej i tablicy ogłoszeń;</w:t>
      </w:r>
    </w:p>
    <w:p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Urzędów Gmin wchodzących w skład LSR z prośbą o zamieszczenie informacji na ich stronie internetowej i tablicy ogłoszeń;</w:t>
      </w:r>
    </w:p>
    <w:p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osób znajdujących się w bazie kontaktów LGD;</w:t>
      </w:r>
    </w:p>
    <w:p w:rsidR="00294BD0" w:rsidRDefault="00294BD0">
      <w:pPr>
        <w:numPr>
          <w:ilvl w:val="0"/>
          <w:numId w:val="25"/>
        </w:numPr>
        <w:autoSpaceDE w:val="0"/>
        <w:spacing w:after="0"/>
        <w:jc w:val="both"/>
        <w:rPr>
          <w:rFonts w:ascii="Times New Roman" w:eastAsia="Times New Roman" w:hAnsi="Times New Roman" w:cs="Times New Roman"/>
        </w:rPr>
      </w:pPr>
      <w:r>
        <w:rPr>
          <w:rFonts w:ascii="Times New Roman" w:eastAsia="Times New Roman" w:hAnsi="Times New Roman" w:cs="Times New Roman"/>
        </w:rPr>
        <w:t>Bezpośrednie spotkania - organizacja otwartych i corocznych spotkań pozwoli bezpośrednio dotrzeć do mieszkańców, zwłaszcza do tych, którzy z różnych przyczyn nie mogą dotrzeć do biura LGD bądź mają utrudniony dostęp do Internetu i portali społecznościowych oraz do reszty grup docelowych. Będzie to też okazja do spotkania z osobami, które są zagrożone wykluczeniem społecznym oraz grupami defaworyzowanymi pod kątem dostępu do rynku pracy, w większości przypadków nie będą one zainteresowane uzyskaniem wsparcia, ale będą chciały wiedzieć jakie operacje są do nich kierowane i jak to wpłynie na poprawę ich życia. To działanie realizuje 2. Cel szczegółowy. Do tego celu posłużą takie narzędzia jak:</w:t>
      </w:r>
    </w:p>
    <w:p w:rsidR="00294BD0" w:rsidRDefault="00294BD0">
      <w:pPr>
        <w:numPr>
          <w:ilvl w:val="0"/>
          <w:numId w:val="48"/>
        </w:numPr>
        <w:autoSpaceDE w:val="0"/>
        <w:spacing w:after="0"/>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Organizacja otwartych i corocznych spotkań; </w:t>
      </w:r>
    </w:p>
    <w:p w:rsidR="00294BD0" w:rsidRDefault="00294BD0">
      <w:pPr>
        <w:numPr>
          <w:ilvl w:val="0"/>
          <w:numId w:val="15"/>
        </w:numPr>
        <w:autoSpaceDE w:val="0"/>
        <w:spacing w:after="0"/>
        <w:jc w:val="both"/>
        <w:rPr>
          <w:rFonts w:ascii="Times New Roman" w:eastAsia="Times New Roman" w:hAnsi="Times New Roman" w:cs="Times New Roman"/>
        </w:rPr>
      </w:pPr>
      <w:r>
        <w:rPr>
          <w:rFonts w:ascii="Times New Roman" w:eastAsia="Times New Roman" w:hAnsi="Times New Roman" w:cs="Times New Roman"/>
        </w:rPr>
        <w:t>Organizacja cyklu szkoleniowego – Dla podmiotów zajmujących się działalnością gospodarczą bądź chcących ją założyć cykl szkoleniowy będzie prowadzony przez zewnętrznych ekspertów lub pracowników biura LGD. Na cykl szkoleniowy składa się uczestnictwo w szkoleniu i/lub spotkaniu z doradcą/pracownikiem biura. Oczywiście ilość spotkań z ekspertem będzie uzależniona od rodzaju złożonego wniosku i potrzeb Beneficjenta związanych z przygotowaniem się do jego złożenia. Natomiast dla osób zainteresowanych składaniem wniosków w ramach Projektów Grantowych oraz dla przedstawicieli jednostek samorządu terytorialnego zainteresowanych złożeniem wniosku w ramach operacji na rozwój ogólnodostępnej i niekomercyjnej infrastruktury turystycznej lub rekreacyjnej i kulturalnej oraz budowa lub przebudowa dróg gminnych lub powiatowych szkolenia i doradztwo będą prowadzone przez pracowników biura LGD odpowiedzialnych za te zadania. Po zakończonym cyklu szkoleniowym uczestniczy zostaną poproszeni o wypełnienie anonimowej ankiety monitorującej, która będzie oceniała poziom zadowolenia i jakość przeprowadzonych szkoleń i udzielonego doradztwa. Ponadto będzie można wnieść na niej indywidualne uwagi, co na bieżąco pozwoli nadzorować przebieg cyklu szkoleniowego i będzie stanowiła jednocześnie przesłanki do wprowadzenia ewentualnych korekt. Narzędzie to będzie po raz pierwszy wykorzystywane przez LGD w jej bieżącej pracy, z jednej strony zapewni stałą jakość oferowanych usług szkoleniowo-doradczych, z drugiej zaś będzie podstawą do oceny pracownika biura LGD odpowiedzialnego za te kwestie. Narzędzie to nie było wcześniej stosowane przez LGD, a jego wprowadzenie pozwoli części osób z grupy docelowej na posiadanie realnego wpływu na proces przygotowania ich o aplikowanie o środki unijne. To działanie realizuje 1. Cel szczegółowy. Do tego celu posłużą następujące narzędzia:</w:t>
      </w:r>
    </w:p>
    <w:p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 xml:space="preserve">Szkolenie, </w:t>
      </w:r>
    </w:p>
    <w:p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Indywidualne doradztwo,</w:t>
      </w:r>
    </w:p>
    <w:p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Ankieta monitorująca.</w:t>
      </w:r>
    </w:p>
    <w:p w:rsidR="00294BD0" w:rsidRDefault="00294BD0">
      <w:pPr>
        <w:numPr>
          <w:ilvl w:val="0"/>
          <w:numId w:val="15"/>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Badanie poziomu satysfakcji – narzędzie będzie wykorzystane do badania dotychczasowej działalności LGD i realizacji LSR. Uzyskane w ten sposób informacje zostaną wykorzystane np. do aktualizacji LSR, Kryteriów Wyboru Operacji/Grantów, procedur czy też zmiany sposobu funkcjonowania poszczególnych organów LGD czy biura. Ankieta będzie rozpowszechniana podczas bezpośrednich spotkań oraz zostanie zamieszczona na stronie internetowej LGD z możliwością złożenia ewentualnych uwag w dowolnym momencie. Uwagi otrzymane za pomocą ankiet będą przedstawiane na najbliższym Walnym Zgromadzeniu Członków Stowarzyszenia i poddawane głosowaniu. To działanie realizuje 3 cel szczegółowy. Do tego celu zostanie wykorzystane następujące narzędzie:</w:t>
      </w:r>
    </w:p>
    <w:p w:rsidR="00294BD0" w:rsidRDefault="00294BD0">
      <w:pPr>
        <w:numPr>
          <w:ilvl w:val="0"/>
          <w:numId w:val="12"/>
        </w:numPr>
        <w:autoSpaceDE w:val="0"/>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rPr>
        <w:t>Ankieta monitorująca</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Każde z wymienionych działań komunikacyjnych realizuje poszczególne cele szczegółowe i  tym samym wykorzystanie wszystkich wymienionych elementów przyczyni się do osiągnięcia celu ogólnego. Mieszkańcy zostaną poinformowani o możliwościach jakie daje Lokalna Grupa Działania, w tym EFRROW wdrażany poprzez Program Rozwoju Obszarów Wiejskich 2014-2020. Dodatkowo zwiększy się poziom wiedzy i świadomości mieszkańców o możliwościach jakie zostały im stworzone. W konsekwencji zwiększy się pozytywny wizerunek LGD, jej rozpoznawalność oraz efekty końcowe docenione przez mieszkańców.</w:t>
      </w:r>
    </w:p>
    <w:p w:rsidR="00294BD0" w:rsidRDefault="00294BD0">
      <w:pPr>
        <w:autoSpaceDE w:val="0"/>
        <w:spacing w:after="0" w:line="240" w:lineRule="auto"/>
        <w:jc w:val="both"/>
        <w:rPr>
          <w:rFonts w:ascii="Times New Roman" w:eastAsia="Times New Roman" w:hAnsi="Times New Roman" w:cs="Times New Roman"/>
          <w:color w:val="000000"/>
        </w:rPr>
      </w:pPr>
    </w:p>
    <w:p w:rsidR="00294BD0" w:rsidRDefault="00294BD0">
      <w:pPr>
        <w:numPr>
          <w:ilvl w:val="0"/>
          <w:numId w:val="75"/>
        </w:numPr>
        <w:autoSpaceDE w:val="0"/>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Wskazanie głównych adresatów poszczególnych działań komunikacyjnych, tj. grup docelowych. </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W procesie komunikacji wyróżnić należy podstawowe grupy odbiorców: </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Mieszkańcy,</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Osoby fizyczne,</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Organizacje pozarządowe,</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Przedsiębiorcy,</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Jednostki samorządu terytorialnego,</w:t>
      </w:r>
    </w:p>
    <w:p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Grupy defaworyzowane pod kątem dostępu do rynku pracy.</w:t>
      </w:r>
    </w:p>
    <w:p w:rsidR="00294BD0" w:rsidRDefault="00294BD0">
      <w:pPr>
        <w:numPr>
          <w:ilvl w:val="0"/>
          <w:numId w:val="76"/>
        </w:numPr>
        <w:autoSpaceDE w:val="0"/>
        <w:spacing w:after="0"/>
        <w:ind w:left="1985" w:hanging="1559"/>
        <w:jc w:val="both"/>
        <w:rPr>
          <w:rFonts w:ascii="Times New Roman" w:eastAsia="Times New Roman" w:hAnsi="Times New Roman" w:cs="Times New Roman"/>
          <w:color w:val="000000"/>
        </w:rPr>
      </w:pPr>
      <w:r>
        <w:rPr>
          <w:rFonts w:ascii="Times New Roman" w:eastAsia="Times New Roman" w:hAnsi="Times New Roman" w:cs="Times New Roman"/>
        </w:rPr>
        <w:t>Osoby zagrożone wykluczeniem społecznym tj. osoby w wieku poprodukcyjnym</w:t>
      </w:r>
    </w:p>
    <w:p w:rsidR="00294BD0" w:rsidRDefault="00294BD0">
      <w:pPr>
        <w:spacing w:after="0" w:line="240" w:lineRule="auto"/>
        <w:ind w:left="284"/>
        <w:jc w:val="both"/>
        <w:rPr>
          <w:rFonts w:ascii="Times New Roman" w:hAnsi="Times New Roman" w:cs="Times New Roman"/>
          <w:color w:val="000000"/>
        </w:rPr>
      </w:pPr>
      <w:r>
        <w:rPr>
          <w:rFonts w:ascii="Times New Roman" w:eastAsia="Times New Roman" w:hAnsi="Times New Roman" w:cs="Times New Roman"/>
          <w:color w:val="000000"/>
        </w:rPr>
        <w:t xml:space="preserve">Opis działań aktywizujących dla poszczególnych grup odbiorców został zawarty w </w:t>
      </w:r>
      <w:r>
        <w:rPr>
          <w:rFonts w:ascii="Times New Roman" w:eastAsia="Times New Roman" w:hAnsi="Times New Roman" w:cs="Times New Roman"/>
          <w:i/>
          <w:color w:val="000000"/>
        </w:rPr>
        <w:t>Rozdziale III. Diagnoza - opis obszaru i ludności punkt 1. Określenie grup szczególnie istotnych z punktu widzenia realizacji LSR.</w:t>
      </w:r>
    </w:p>
    <w:p w:rsidR="00294BD0" w:rsidRDefault="00294BD0">
      <w:pPr>
        <w:autoSpaceDE w:val="0"/>
        <w:spacing w:after="0" w:line="240" w:lineRule="auto"/>
        <w:rPr>
          <w:rFonts w:ascii="Times New Roman" w:hAnsi="Times New Roman" w:cs="Times New Roman"/>
          <w:color w:val="000000"/>
        </w:rPr>
      </w:pPr>
    </w:p>
    <w:p w:rsidR="00294BD0" w:rsidRDefault="00294BD0">
      <w:pPr>
        <w:numPr>
          <w:ilvl w:val="0"/>
          <w:numId w:val="75"/>
        </w:numPr>
        <w:autoSpaceDE w:val="0"/>
        <w:spacing w:after="0"/>
        <w:ind w:left="284" w:hanging="284"/>
        <w:rPr>
          <w:rFonts w:ascii="Times New Roman" w:eastAsia="Times New Roman" w:hAnsi="Times New Roman" w:cs="Times New Roman"/>
          <w:bCs/>
        </w:rPr>
      </w:pPr>
      <w:r>
        <w:rPr>
          <w:rFonts w:ascii="Times New Roman" w:hAnsi="Times New Roman" w:cs="Times New Roman"/>
          <w:b/>
          <w:bCs/>
          <w:color w:val="000000"/>
        </w:rPr>
        <w:t xml:space="preserve">Planowane efekty działań komunikacyjnych </w:t>
      </w:r>
    </w:p>
    <w:p w:rsidR="00294BD0" w:rsidRDefault="00294BD0">
      <w:pPr>
        <w:autoSpaceDE w:val="0"/>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bCs/>
        </w:rPr>
        <w:t>W wyniku realizacji poszczególnych działań komunikacyjnych nastąpi:</w:t>
      </w:r>
    </w:p>
    <w:p w:rsidR="00294BD0" w:rsidRDefault="00294BD0">
      <w:pPr>
        <w:numPr>
          <w:ilvl w:val="0"/>
          <w:numId w:val="77"/>
        </w:num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Wzrost wiedzy grup docelowych opisanych w LSR na temat możliwości </w:t>
      </w:r>
      <w:r>
        <w:rPr>
          <w:rFonts w:ascii="Times New Roman" w:eastAsia="Times New Roman" w:hAnsi="Times New Roman" w:cs="Times New Roman"/>
        </w:rPr>
        <w:t>uzyskania wsparcia oraz zakresu pomocy w przygotowaniu, realizacji oraz rozliczaniu projektów dofinansowanych w ramach LSR;</w:t>
      </w:r>
    </w:p>
    <w:p w:rsidR="00294BD0" w:rsidRDefault="00294BD0">
      <w:pPr>
        <w:numPr>
          <w:ilvl w:val="0"/>
          <w:numId w:val="77"/>
        </w:num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Wzrost świadomości i wiedzy grup docelowych opisanych w LSR na temat korzyści płynących z uzyskanego wsparcia w ramach środków unijnych;</w:t>
      </w:r>
    </w:p>
    <w:p w:rsidR="00294BD0" w:rsidRDefault="00294BD0">
      <w:pPr>
        <w:numPr>
          <w:ilvl w:val="0"/>
          <w:numId w:val="77"/>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Cs/>
        </w:rPr>
        <w:t>Wzrost rozpoznawalności LGD jako podmiotu mającego realny wpływ na kształt i kierunek rozwoju społecznego regionu;</w:t>
      </w:r>
    </w:p>
    <w:p w:rsidR="00294BD0" w:rsidRDefault="00294BD0">
      <w:pPr>
        <w:autoSpaceDE w:val="0"/>
        <w:spacing w:after="0" w:line="240" w:lineRule="auto"/>
        <w:rPr>
          <w:rFonts w:ascii="Times New Roman" w:eastAsia="Times New Roman" w:hAnsi="Times New Roman" w:cs="Times New Roman"/>
          <w:b/>
          <w:color w:val="000000"/>
        </w:rPr>
      </w:pPr>
    </w:p>
    <w:p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2E74B5"/>
        </w:rPr>
        <w:t>Rozdział X Zintegrowanie</w:t>
      </w:r>
    </w:p>
    <w:p w:rsidR="00294BD0" w:rsidRDefault="00294BD0">
      <w:pPr>
        <w:autoSpaceDE w:val="0"/>
        <w:spacing w:after="0" w:line="240" w:lineRule="auto"/>
        <w:rPr>
          <w:rFonts w:ascii="Times New Roman" w:eastAsia="Times New Roman" w:hAnsi="Times New Roman" w:cs="Times New Roman"/>
          <w:b/>
          <w:color w:val="000000"/>
        </w:rPr>
      </w:pPr>
    </w:p>
    <w:p w:rsidR="00294BD0" w:rsidRDefault="00294BD0">
      <w:pPr>
        <w:numPr>
          <w:ilvl w:val="0"/>
          <w:numId w:val="78"/>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color w:val="000000"/>
        </w:rPr>
        <w:t>Opis zgodności i komplementarności z innymi dokumentami planistycznymi/strategiami</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rPr>
        <w:t>W ramach procesu tworzenia Lokalnej Strategii Rozwoju zbadano jej spójność z regionalnymi strategiami a mianowicie:</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Strategią Rozwoju Województwa Lubuskiego 2020;</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Regionalnym Programem Operacyjnym – Lubuskie 2020;</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Programem Rozwoju Lubuskiej Turystyki do 2020;</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Strategią Polityki Społecznej Województwa Lubuskiego;</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Strategią Rozwoju Województwa Dolnośląskiego 2020;</w:t>
      </w:r>
    </w:p>
    <w:p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Regionalnym Programem Operacyjnym Województwa Dolnośląskiego 2014-2020;</w:t>
      </w:r>
    </w:p>
    <w:p w:rsidR="00294BD0" w:rsidRDefault="00294BD0">
      <w:pPr>
        <w:autoSpaceDE w:val="0"/>
        <w:spacing w:after="0" w:line="240" w:lineRule="auto"/>
        <w:ind w:left="284"/>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Strategią Rozwoju Kraju 2020.</w:t>
      </w:r>
    </w:p>
    <w:p w:rsidR="00294BD0" w:rsidRDefault="00294BD0">
      <w:pPr>
        <w:autoSpaceDE w:val="0"/>
        <w:spacing w:after="0" w:line="240" w:lineRule="auto"/>
        <w:ind w:left="284"/>
        <w:rPr>
          <w:rFonts w:ascii="Times New Roman" w:eastAsia="Times New Roman" w:hAnsi="Times New Roman" w:cs="Times New Roman"/>
        </w:rPr>
      </w:pPr>
    </w:p>
    <w:p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b/>
        </w:rPr>
        <w:t>Zgodność dokumentów strategicznych z celami LSR</w:t>
      </w:r>
    </w:p>
    <w:tbl>
      <w:tblPr>
        <w:tblW w:w="0" w:type="auto"/>
        <w:tblInd w:w="269" w:type="dxa"/>
        <w:tblLayout w:type="fixed"/>
        <w:tblLook w:val="0000" w:firstRow="0" w:lastRow="0" w:firstColumn="0" w:lastColumn="0" w:noHBand="0" w:noVBand="0"/>
      </w:tblPr>
      <w:tblGrid>
        <w:gridCol w:w="538"/>
        <w:gridCol w:w="3464"/>
        <w:gridCol w:w="1218"/>
        <w:gridCol w:w="4720"/>
      </w:tblGrid>
      <w:tr w:rsidR="00294BD0">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Strategia Rozwoju Województwa Lubuskiego 2020</w:t>
            </w:r>
          </w:p>
        </w:tc>
      </w:tr>
      <w:tr w:rsidR="00294BD0">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Cele strategiczne</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 operacyjne</w:t>
            </w:r>
          </w:p>
        </w:tc>
      </w:tr>
      <w:tr w:rsidR="00294BD0">
        <w:trPr>
          <w:trHeight w:val="191"/>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Zapewnienie przestrzennej, gospodarczej i społecznej spójności regionu</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Udoskonalenie i rozbudowa infrastruktury społecznej - w szczególności w sferach edukacji, opieki zdrowotnej, kultury i pomocy społecznej</w:t>
            </w:r>
          </w:p>
        </w:tc>
      </w:tr>
      <w:tr w:rsidR="00294BD0">
        <w:trPr>
          <w:trHeight w:val="191"/>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Wspomaganie procesów rewitalizacji miast i obszarów wiejskich</w:t>
            </w:r>
          </w:p>
        </w:tc>
      </w:tr>
      <w:tr w:rsidR="00294BD0">
        <w:trPr>
          <w:trHeight w:val="191"/>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Podejmowanie działań na rzecz zrównoważonego rozwoju obszarów wiejskich</w:t>
            </w:r>
          </w:p>
        </w:tc>
      </w:tr>
      <w:tr w:rsidR="00294BD0">
        <w:trPr>
          <w:trHeight w:val="383"/>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Efektywne, prorozwojowe wykorzystanie zasobów środowiska przyrodniczego i kulturowego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Wykorzystanie walorów środowiska i dziedzictwa kulturowego dla rozwoju turystyk</w:t>
            </w:r>
          </w:p>
        </w:tc>
      </w:tr>
      <w:tr w:rsidR="00294BD0">
        <w:trPr>
          <w:trHeight w:val="382"/>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Promocja walorów turystycznych i stworzenie systemu informacji turystycznej</w:t>
            </w:r>
          </w:p>
        </w:tc>
      </w:tr>
      <w:tr w:rsidR="00294BD0">
        <w:trPr>
          <w:trHeight w:val="382"/>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Regionalny Program Operacyjny – Lubuskie 2020</w:t>
            </w:r>
          </w:p>
        </w:tc>
      </w:tr>
      <w:tr w:rsidR="00294BD0">
        <w:trPr>
          <w:trHeight w:val="382"/>
        </w:trPr>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 Priorytetowa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 szczegółowe</w:t>
            </w:r>
          </w:p>
        </w:tc>
      </w:tr>
      <w:tr w:rsidR="00294BD0">
        <w:trPr>
          <w:trHeight w:val="630"/>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Regionalny Rynek Pracy</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Podniesienie zdolności do zatrudnienia osób pozostających bez pracy, w tym osób znajdujących się w szczególnie niekorzystnej sytuacji na rynku pracy, tj. kobiet, osób w wieku 50+, niepełnosprawnych, długotrwale bezrobotnych i osób o niskich kwalifikacjach</w:t>
            </w:r>
          </w:p>
        </w:tc>
      </w:tr>
      <w:tr w:rsidR="00294BD0">
        <w:trPr>
          <w:trHeight w:val="630"/>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Poprawa zdolności do samozatrudnienia osób pozostających bez pracy</w:t>
            </w:r>
          </w:p>
        </w:tc>
      </w:tr>
      <w:tr w:rsidR="00294BD0">
        <w:trPr>
          <w:trHeight w:val="188"/>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Równowaga społeczna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Wzrost gotowości do zatrudnienia osób zagrożonych ubóstwem i wykluczeniem społecznym</w:t>
            </w:r>
          </w:p>
        </w:tc>
      </w:tr>
      <w:tr w:rsidR="00294BD0">
        <w:trPr>
          <w:trHeight w:val="187"/>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Zwiększenie dostępności wysokiej jakości usług społecznych dla osób zagrożonych wykluczeniem społecznym</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6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Infrastruktura społeczna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Zmniejszenie zagrożenia ubóstwem na obszarach marginalizowanych</w:t>
            </w:r>
          </w:p>
        </w:tc>
      </w:tr>
      <w:tr w:rsidR="00294BD0">
        <w:trPr>
          <w:trHeight w:val="187"/>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Program Rozwoju Lubuskiej Turystyki do 2020</w:t>
            </w:r>
          </w:p>
        </w:tc>
      </w:tr>
      <w:tr w:rsidR="00294BD0">
        <w:trPr>
          <w:trHeight w:val="187"/>
        </w:trPr>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 operacyjne</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Rozwój infrastruktury turystycznej</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Rozwój wiodących form turystyki</w:t>
            </w:r>
          </w:p>
        </w:tc>
      </w:tr>
      <w:tr w:rsidR="00294BD0">
        <w:trPr>
          <w:trHeight w:val="187"/>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Strategia Polityki Społecznej Województwa Lubuskiego</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Cele główne</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b/>
              </w:rPr>
              <w:t>Cele strategiczne</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Wyrównywanie szans rozwojowych dzieci i młodzieży</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Zwiększanie dostępu do różnych form edukacji, dóbr kultury, kultury fizycznej</w:t>
            </w:r>
          </w:p>
        </w:tc>
      </w:tr>
      <w:tr w:rsidR="00294BD0">
        <w:trPr>
          <w:trHeight w:val="187"/>
        </w:trPr>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Zapobieganie wykluczeniu społecznemu osób i rodzin oraz ich integracja ze społeczeństwem</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Przeciwdziałanie wykluczeniu społecznemu osób i rodzin z grup szczególnego ryzyka oraz ich integracja ze społeczeństwem</w:t>
            </w:r>
          </w:p>
        </w:tc>
      </w:tr>
      <w:tr w:rsidR="00294BD0">
        <w:trPr>
          <w:trHeight w:val="255"/>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Wspieranie rozwoju społeczeństwa obywatelskiego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Rozwijanie współpracy z podmiotami III sektora</w:t>
            </w:r>
          </w:p>
        </w:tc>
      </w:tr>
      <w:tr w:rsidR="00294BD0">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Promowanie aktywności obywatelskiej</w:t>
            </w:r>
          </w:p>
          <w:p w:rsidR="00294BD0" w:rsidRDefault="00294BD0">
            <w:pPr>
              <w:autoSpaceDE w:val="0"/>
              <w:spacing w:after="0" w:line="240" w:lineRule="auto"/>
              <w:jc w:val="center"/>
              <w:rPr>
                <w:rFonts w:ascii="Times New Roman" w:eastAsia="Times New Roman" w:hAnsi="Times New Roman" w:cs="Times New Roman"/>
              </w:rPr>
            </w:pPr>
          </w:p>
        </w:tc>
      </w:tr>
      <w:tr w:rsidR="00294BD0">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Strategia Rozwoju Województwa Dolnośląskiego 2020</w:t>
            </w:r>
          </w:p>
        </w:tc>
      </w:tr>
      <w:tr w:rsidR="00294BD0">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 strategiczne</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Wzrost konkurencyjności przedsiębiorstw, zwłaszcza MŚP</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Wzrost zatrudnienia i mobilności pracowników</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Włączenie społeczne, podnoszenie poziomu i jakości życia</w:t>
            </w:r>
          </w:p>
        </w:tc>
      </w:tr>
      <w:tr w:rsidR="00294BD0">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Regionalny Program Operacyjny Województwa Dolnośląskiego 2014-2020</w:t>
            </w:r>
          </w:p>
        </w:tc>
      </w:tr>
      <w:tr w:rsidR="00294BD0">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4682" w:type="dxa"/>
            <w:gridSpan w:val="2"/>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 priorytetowa</w:t>
            </w:r>
          </w:p>
        </w:tc>
        <w:tc>
          <w:tcPr>
            <w:tcW w:w="4720"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 szczegółowe</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82"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Infrastruktura spójności społecznej</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Kompleksowa rewitalizacja zdegradowanych obszarów miejskich i wiejskich w wymiarze społecznym, gospodarczym i przestrzennym</w:t>
            </w:r>
          </w:p>
        </w:tc>
      </w:tr>
      <w:tr w:rsidR="00294BD0">
        <w:trPr>
          <w:trHeight w:val="335"/>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Rynek pracy</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Poprawa szans na zatrudnienie osób, które znajdują się w szczególnej sytuacji na rynku pracy (50+, kobiety, osoby niepełnosprawne, długotrwale bezrobotne, osoby o niskich kwalifikacjach)</w:t>
            </w:r>
          </w:p>
        </w:tc>
      </w:tr>
      <w:tr w:rsidR="00294BD0">
        <w:trPr>
          <w:trHeight w:val="335"/>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Tworzenie nowych i trwałych miejsc pracy</w:t>
            </w:r>
          </w:p>
        </w:tc>
      </w:tr>
      <w:tr w:rsidR="00294BD0">
        <w:trPr>
          <w:trHeight w:val="335"/>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Poprawa konkurencyjności przedsiębiorstw i przedsiębiorców sektora MMŚP</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82"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Włączenie społeczne</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Aktywna integracja osób zagrożonych ubóstwem i wykluczeniem społecznym poprzez poprawę i wzmocnienie ich zdolności do zatrudnienia oraz zatrudnienia</w:t>
            </w:r>
          </w:p>
        </w:tc>
      </w:tr>
      <w:tr w:rsidR="00294BD0">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rPr>
              <w:t>Strategia Rozwoju Kraju 2020</w:t>
            </w:r>
          </w:p>
        </w:tc>
      </w:tr>
      <w:tr w:rsidR="00294BD0">
        <w:tc>
          <w:tcPr>
            <w:tcW w:w="538" w:type="dxa"/>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4682" w:type="dxa"/>
            <w:gridSpan w:val="2"/>
            <w:tcBorders>
              <w:top w:val="single" w:sz="4" w:space="0" w:color="000000"/>
              <w:left w:val="single" w:sz="4" w:space="0" w:color="000000"/>
              <w:bottom w:val="single" w:sz="4" w:space="0" w:color="000000"/>
            </w:tcBorders>
            <w:shd w:val="clear" w:color="auto" w:fill="76923C"/>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Obszar strategiczny</w:t>
            </w:r>
          </w:p>
        </w:tc>
        <w:tc>
          <w:tcPr>
            <w:tcW w:w="4720" w:type="dxa"/>
            <w:tcBorders>
              <w:top w:val="single" w:sz="4" w:space="0" w:color="000000"/>
              <w:left w:val="single" w:sz="4" w:space="0" w:color="000000"/>
              <w:bottom w:val="single" w:sz="4" w:space="0" w:color="000000"/>
              <w:right w:val="single" w:sz="4" w:space="0" w:color="000000"/>
            </w:tcBorders>
            <w:shd w:val="clear" w:color="auto" w:fill="76923C"/>
            <w:vAlign w:val="center"/>
          </w:tcPr>
          <w:p w:rsidR="00294BD0" w:rsidRDefault="00294BD0">
            <w:pPr>
              <w:autoSpaceDE w:val="0"/>
              <w:spacing w:after="0" w:line="240" w:lineRule="auto"/>
              <w:jc w:val="center"/>
            </w:pPr>
            <w:r>
              <w:rPr>
                <w:rFonts w:ascii="Times New Roman" w:eastAsia="Times New Roman" w:hAnsi="Times New Roman" w:cs="Times New Roman"/>
                <w:b/>
              </w:rPr>
              <w:t>Cele</w:t>
            </w:r>
          </w:p>
        </w:tc>
      </w:tr>
      <w:tr w:rsidR="00294BD0">
        <w:tc>
          <w:tcPr>
            <w:tcW w:w="53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82"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Sprawne i efektywne państwo</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tabs>
                <w:tab w:val="left" w:pos="1320"/>
              </w:tabs>
              <w:autoSpaceDE w:val="0"/>
              <w:spacing w:after="0" w:line="240" w:lineRule="auto"/>
              <w:jc w:val="center"/>
            </w:pPr>
            <w:r>
              <w:rPr>
                <w:rFonts w:ascii="Times New Roman" w:eastAsia="Times New Roman" w:hAnsi="Times New Roman" w:cs="Times New Roman"/>
              </w:rPr>
              <w:t>Wzmocnienie warunków sprzyjających realizacji indywidualnych potrzeb i aktywności obywatela</w:t>
            </w:r>
          </w:p>
        </w:tc>
      </w:tr>
      <w:tr w:rsidR="00294BD0">
        <w:trPr>
          <w:trHeight w:val="248"/>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Konkurencyjna gospodarka</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Wzrost wydajności gospodarki</w:t>
            </w:r>
          </w:p>
        </w:tc>
      </w:tr>
      <w:tr w:rsidR="00294BD0">
        <w:trPr>
          <w:trHeight w:val="247"/>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Rozwój kapitału ludzkiego</w:t>
            </w:r>
          </w:p>
        </w:tc>
      </w:tr>
      <w:tr w:rsidR="00294BD0">
        <w:trPr>
          <w:trHeight w:val="128"/>
        </w:trPr>
        <w:tc>
          <w:tcPr>
            <w:tcW w:w="538"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Spójność społeczna i terytorialna</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Integracja społeczna</w:t>
            </w:r>
          </w:p>
        </w:tc>
      </w:tr>
      <w:tr w:rsidR="00294BD0">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Zapewnienie dostępu i określonych standardów usług publicznych</w:t>
            </w:r>
          </w:p>
        </w:tc>
      </w:tr>
      <w:tr w:rsidR="00294BD0">
        <w:trPr>
          <w:trHeight w:val="70"/>
        </w:trPr>
        <w:tc>
          <w:tcPr>
            <w:tcW w:w="538"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Wzmocnienie mechanizmów terytorialnego równoważenia rozwoju oraz integracja przestrzenna dla rozwijania i pełnego wykorzystania potencjałów regionalnych</w:t>
            </w:r>
          </w:p>
        </w:tc>
      </w:tr>
    </w:tbl>
    <w:p w:rsidR="00294BD0" w:rsidRDefault="00294BD0">
      <w:pPr>
        <w:spacing w:after="0"/>
        <w:ind w:left="426"/>
        <w:rPr>
          <w:rFonts w:ascii="Times New Roman" w:eastAsia="Times New Roman" w:hAnsi="Times New Roman" w:cs="Times New Roman"/>
          <w:color w:val="000000"/>
          <w:sz w:val="23"/>
          <w:szCs w:val="23"/>
        </w:rPr>
      </w:pPr>
      <w:r>
        <w:rPr>
          <w:rFonts w:ascii="Times New Roman" w:hAnsi="Times New Roman" w:cs="Times New Roman"/>
          <w:i/>
        </w:rPr>
        <w:t>(Tabela nr 28 –</w:t>
      </w:r>
      <w:r>
        <w:t xml:space="preserve"> </w:t>
      </w:r>
      <w:r>
        <w:rPr>
          <w:rFonts w:ascii="Times New Roman" w:hAnsi="Times New Roman" w:cs="Times New Roman"/>
          <w:i/>
        </w:rPr>
        <w:t>Opis zgodności i komplementarności LSR z innymi dokumentami planistycznymi/strategiami- Źródło - opracowanie własne LGD)</w:t>
      </w:r>
    </w:p>
    <w:p w:rsidR="00294BD0" w:rsidRDefault="00294BD0">
      <w:pPr>
        <w:autoSpaceDE w:val="0"/>
        <w:spacing w:after="0" w:line="240" w:lineRule="auto"/>
        <w:rPr>
          <w:rFonts w:ascii="Times New Roman" w:eastAsia="Times New Roman" w:hAnsi="Times New Roman" w:cs="Times New Roman"/>
          <w:color w:val="000000"/>
          <w:sz w:val="23"/>
          <w:szCs w:val="23"/>
        </w:rPr>
      </w:pPr>
    </w:p>
    <w:p w:rsidR="00294BD0" w:rsidRDefault="00294BD0">
      <w:pPr>
        <w:autoSpaceDE w:val="0"/>
        <w:spacing w:after="0" w:line="240" w:lineRule="auto"/>
        <w:ind w:left="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Cele, przedsięwzięcia i działania Lokalnej strategii rozwoju są również spójne ze strategiami pięciu gmin z terenu LGD, w pozostałych aktualnie trwają prace nad przygotowaniem dokumentu:</w:t>
      </w:r>
    </w:p>
    <w:p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Iłowa na lata 2014-2020;</w:t>
      </w:r>
    </w:p>
    <w:p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Miasta i Gminy Pieńsk na lata 2014-2020;</w:t>
      </w:r>
    </w:p>
    <w:p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Węgliniec na lata 2015-2025;</w:t>
      </w:r>
    </w:p>
    <w:p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Żary na lata 2013-2020;</w:t>
      </w:r>
    </w:p>
    <w:p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Małomice na lata 2014-2020;</w:t>
      </w:r>
    </w:p>
    <w:p w:rsidR="00294BD0" w:rsidRDefault="00294BD0">
      <w:pPr>
        <w:autoSpaceDE w:val="0"/>
        <w:spacing w:after="0" w:line="240" w:lineRule="auto"/>
        <w:rPr>
          <w:rFonts w:ascii="Times New Roman" w:eastAsia="Times New Roman" w:hAnsi="Times New Roman" w:cs="Times New Roman"/>
          <w:color w:val="000000"/>
          <w:sz w:val="23"/>
          <w:szCs w:val="23"/>
        </w:rPr>
      </w:pPr>
    </w:p>
    <w:tbl>
      <w:tblPr>
        <w:tblW w:w="0" w:type="auto"/>
        <w:tblInd w:w="10" w:type="dxa"/>
        <w:tblLayout w:type="fixed"/>
        <w:tblCellMar>
          <w:left w:w="10" w:type="dxa"/>
          <w:right w:w="10" w:type="dxa"/>
        </w:tblCellMar>
        <w:tblLook w:val="0000" w:firstRow="0" w:lastRow="0" w:firstColumn="0" w:lastColumn="0" w:noHBand="0" w:noVBand="0"/>
      </w:tblPr>
      <w:tblGrid>
        <w:gridCol w:w="3708"/>
        <w:gridCol w:w="375"/>
        <w:gridCol w:w="794"/>
        <w:gridCol w:w="747"/>
        <w:gridCol w:w="455"/>
        <w:gridCol w:w="1250"/>
        <w:gridCol w:w="154"/>
        <w:gridCol w:w="639"/>
        <w:gridCol w:w="30"/>
        <w:gridCol w:w="124"/>
        <w:gridCol w:w="1696"/>
        <w:gridCol w:w="8"/>
        <w:gridCol w:w="9"/>
      </w:tblGrid>
      <w:tr w:rsidR="00294BD0">
        <w:trPr>
          <w:gridAfter w:val="1"/>
          <w:wAfter w:w="9" w:type="dxa"/>
        </w:trPr>
        <w:tc>
          <w:tcPr>
            <w:tcW w:w="3708" w:type="dxa"/>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p w:rsidR="00294BD0" w:rsidRDefault="00294BD0">
            <w:pPr>
              <w:spacing w:after="0" w:line="240" w:lineRule="auto"/>
              <w:jc w:val="center"/>
              <w:rPr>
                <w:rFonts w:ascii="Times New Roman" w:eastAsia="Times New Roman" w:hAnsi="Times New Roman" w:cs="Times New Roman"/>
                <w:color w:val="000000"/>
              </w:rPr>
            </w:pPr>
          </w:p>
        </w:tc>
        <w:tc>
          <w:tcPr>
            <w:tcW w:w="1169" w:type="dxa"/>
            <w:gridSpan w:val="2"/>
            <w:tcBorders>
              <w:top w:val="single" w:sz="4" w:space="0" w:color="000000"/>
              <w:left w:val="single" w:sz="4" w:space="0" w:color="000000"/>
              <w:bottom w:val="single" w:sz="4" w:space="0" w:color="000000"/>
            </w:tcBorders>
            <w:shd w:val="clear" w:color="auto" w:fill="BFBFBF"/>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Iłowa</w:t>
            </w:r>
          </w:p>
        </w:tc>
        <w:tc>
          <w:tcPr>
            <w:tcW w:w="1202" w:type="dxa"/>
            <w:gridSpan w:val="2"/>
            <w:tcBorders>
              <w:top w:val="single" w:sz="4" w:space="0" w:color="000000"/>
              <w:left w:val="single" w:sz="4" w:space="0" w:color="000000"/>
              <w:bottom w:val="single" w:sz="4" w:space="0" w:color="000000"/>
            </w:tcBorders>
            <w:shd w:val="clear" w:color="auto" w:fill="BFBFBF"/>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Pieńsk</w:t>
            </w:r>
          </w:p>
        </w:tc>
        <w:tc>
          <w:tcPr>
            <w:tcW w:w="1250" w:type="dxa"/>
            <w:tcBorders>
              <w:top w:val="single" w:sz="4" w:space="0" w:color="000000"/>
              <w:left w:val="single" w:sz="4" w:space="0" w:color="000000"/>
              <w:bottom w:val="single" w:sz="4" w:space="0" w:color="000000"/>
            </w:tcBorders>
            <w:shd w:val="clear" w:color="auto" w:fill="BFBFBF"/>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Węgliniec</w:t>
            </w:r>
          </w:p>
        </w:tc>
        <w:tc>
          <w:tcPr>
            <w:tcW w:w="823" w:type="dxa"/>
            <w:gridSpan w:val="3"/>
            <w:tcBorders>
              <w:top w:val="single" w:sz="4" w:space="0" w:color="000000"/>
              <w:left w:val="single" w:sz="4" w:space="0" w:color="000000"/>
              <w:bottom w:val="single" w:sz="4" w:space="0" w:color="000000"/>
            </w:tcBorders>
            <w:shd w:val="clear" w:color="auto" w:fill="BFBFBF"/>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Żary</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294BD0" w:rsidRDefault="00294BD0">
            <w:pPr>
              <w:spacing w:after="0" w:line="240" w:lineRule="auto"/>
              <w:jc w:val="center"/>
            </w:pPr>
            <w:r>
              <w:rPr>
                <w:rFonts w:ascii="Times New Roman" w:eastAsia="Times New Roman" w:hAnsi="Times New Roman" w:cs="Times New Roman"/>
                <w:color w:val="000000"/>
              </w:rPr>
              <w:t>Małomice</w:t>
            </w:r>
          </w:p>
        </w:tc>
      </w:tr>
      <w:tr w:rsidR="00294BD0">
        <w:tblPrEx>
          <w:tblCellMar>
            <w:left w:w="108" w:type="dxa"/>
            <w:right w:w="108" w:type="dxa"/>
          </w:tblCellMar>
        </w:tblPrEx>
        <w:trPr>
          <w:trHeight w:val="278"/>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E5B8B7"/>
            <w:vAlign w:val="center"/>
          </w:tcPr>
          <w:p w:rsidR="00294BD0" w:rsidRDefault="00294BD0">
            <w:pPr>
              <w:spacing w:after="0" w:line="240" w:lineRule="auto"/>
              <w:jc w:val="center"/>
            </w:pPr>
            <w:r>
              <w:rPr>
                <w:rFonts w:ascii="Times New Roman" w:eastAsia="Times New Roman" w:hAnsi="Times New Roman" w:cs="Times New Roman"/>
                <w:color w:val="000000"/>
              </w:rPr>
              <w:t>Cel główny: Pobudzanie lokalnej przedsiębiorczości</w:t>
            </w:r>
          </w:p>
        </w:tc>
      </w:tr>
      <w:tr w:rsidR="00294BD0">
        <w:tblPrEx>
          <w:tblCellMar>
            <w:left w:w="108" w:type="dxa"/>
            <w:right w:w="108" w:type="dxa"/>
          </w:tblCellMar>
        </w:tblPrEx>
        <w:trPr>
          <w:trHeight w:val="277"/>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F2DBDB"/>
            <w:vAlign w:val="center"/>
          </w:tcPr>
          <w:p w:rsidR="00294BD0" w:rsidRDefault="00294BD0">
            <w:pPr>
              <w:tabs>
                <w:tab w:val="left" w:pos="6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Cele szczegółowe:</w:t>
            </w:r>
          </w:p>
          <w:p w:rsidR="00294BD0" w:rsidRDefault="00294BD0">
            <w:pPr>
              <w:tabs>
                <w:tab w:val="left" w:pos="6000"/>
              </w:tabs>
              <w:spacing w:after="0" w:line="240" w:lineRule="auto"/>
              <w:jc w:val="center"/>
              <w:rPr>
                <w:rFonts w:ascii="Times New Roman" w:eastAsia="Times New Roman" w:hAnsi="Times New Roman" w:cs="Times New Roman"/>
                <w:color w:val="000000"/>
              </w:rPr>
            </w:pPr>
          </w:p>
        </w:tc>
      </w:tr>
      <w:tr w:rsidR="00294BD0">
        <w:trPr>
          <w:trHeight w:val="645"/>
        </w:trPr>
        <w:tc>
          <w:tcPr>
            <w:tcW w:w="3708"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Tworzenie warunków do zakładania przedsiębiorstw na obszarze LGD</w:t>
            </w:r>
          </w:p>
        </w:tc>
        <w:tc>
          <w:tcPr>
            <w:tcW w:w="1169"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250" w:type="dxa"/>
            <w:tcBorders>
              <w:top w:val="single" w:sz="4" w:space="0" w:color="000000"/>
              <w:lef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823" w:type="dxa"/>
            <w:gridSpan w:val="3"/>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37" w:type="dxa"/>
            <w:gridSpan w:val="4"/>
            <w:tcBorders>
              <w:top w:val="single" w:sz="4" w:space="0" w:color="000000"/>
              <w:left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X</w:t>
            </w:r>
          </w:p>
        </w:tc>
      </w:tr>
      <w:tr w:rsidR="00294BD0">
        <w:trPr>
          <w:trHeight w:val="410"/>
        </w:trPr>
        <w:tc>
          <w:tcPr>
            <w:tcW w:w="3708"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istniejących przedsiębiorstw i inicjowanie współpracy pomiędzy podmiotami gospodarczymi funkcjonującymi na obszarze LGD</w:t>
            </w:r>
          </w:p>
        </w:tc>
        <w:tc>
          <w:tcPr>
            <w:tcW w:w="1169"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250"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23" w:type="dxa"/>
            <w:gridSpan w:val="3"/>
            <w:tcBorders>
              <w:top w:val="single" w:sz="4" w:space="0" w:color="000000"/>
              <w:lef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837" w:type="dxa"/>
            <w:gridSpan w:val="4"/>
            <w:tcBorders>
              <w:top w:val="single" w:sz="4" w:space="0" w:color="000000"/>
              <w:left w:val="single" w:sz="4" w:space="0" w:color="000000"/>
              <w:righ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r>
      <w:tr w:rsidR="00294BD0">
        <w:tblPrEx>
          <w:tblCellMar>
            <w:left w:w="108" w:type="dxa"/>
            <w:right w:w="108" w:type="dxa"/>
          </w:tblCellMar>
        </w:tblPrEx>
        <w:tc>
          <w:tcPr>
            <w:tcW w:w="9989" w:type="dxa"/>
            <w:gridSpan w:val="13"/>
            <w:tcBorders>
              <w:top w:val="single" w:sz="4" w:space="0" w:color="000000"/>
              <w:left w:val="single" w:sz="4" w:space="0" w:color="000000"/>
              <w:right w:val="single" w:sz="4" w:space="0" w:color="000000"/>
            </w:tcBorders>
            <w:shd w:val="clear" w:color="auto" w:fill="E5B8B7"/>
            <w:vAlign w:val="center"/>
          </w:tcPr>
          <w:p w:rsidR="00294BD0" w:rsidRDefault="00294BD0">
            <w:pPr>
              <w:spacing w:after="0" w:line="240" w:lineRule="auto"/>
              <w:jc w:val="center"/>
            </w:pPr>
            <w:r>
              <w:rPr>
                <w:rFonts w:ascii="Times New Roman" w:eastAsia="Times New Roman" w:hAnsi="Times New Roman" w:cs="Times New Roman"/>
              </w:rPr>
              <w:t>Cel główny: Lepsze wykorzystanie potencjału przyrodniczego i kulturowego w rozwoju regionu</w:t>
            </w:r>
          </w:p>
        </w:tc>
      </w:tr>
      <w:tr w:rsidR="00294BD0">
        <w:tblPrEx>
          <w:tblCellMar>
            <w:left w:w="108" w:type="dxa"/>
            <w:right w:w="108" w:type="dxa"/>
          </w:tblCellMar>
        </w:tblPrEx>
        <w:tc>
          <w:tcPr>
            <w:tcW w:w="9989" w:type="dxa"/>
            <w:gridSpan w:val="13"/>
            <w:tcBorders>
              <w:top w:val="single" w:sz="4" w:space="0" w:color="000000"/>
              <w:left w:val="single" w:sz="4" w:space="0" w:color="000000"/>
              <w:right w:val="single" w:sz="4" w:space="0" w:color="000000"/>
            </w:tcBorders>
            <w:shd w:val="clear" w:color="auto" w:fill="F2DBDB"/>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Cele szczegółowe:</w:t>
            </w:r>
          </w:p>
          <w:p w:rsidR="00294BD0" w:rsidRDefault="00294BD0">
            <w:pPr>
              <w:spacing w:after="0" w:line="240" w:lineRule="auto"/>
              <w:jc w:val="center"/>
              <w:rPr>
                <w:rFonts w:ascii="Times New Roman" w:eastAsia="Times New Roman" w:hAnsi="Times New Roman" w:cs="Times New Roman"/>
              </w:rPr>
            </w:pPr>
          </w:p>
        </w:tc>
      </w:tr>
      <w:tr w:rsidR="00294BD0">
        <w:trPr>
          <w:trHeight w:val="397"/>
        </w:trPr>
        <w:tc>
          <w:tcPr>
            <w:tcW w:w="3708"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stanu infrastruktury drogowej</w:t>
            </w:r>
          </w:p>
        </w:tc>
        <w:tc>
          <w:tcPr>
            <w:tcW w:w="1169"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50"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793"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X</w:t>
            </w:r>
          </w:p>
        </w:tc>
      </w:tr>
      <w:tr w:rsidR="00294BD0">
        <w:trPr>
          <w:trHeight w:val="984"/>
        </w:trPr>
        <w:tc>
          <w:tcPr>
            <w:tcW w:w="3708"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Rozwój infrastruktury turystycznej, rekreacyjnej lub kulturalnej</w:t>
            </w:r>
          </w:p>
        </w:tc>
        <w:tc>
          <w:tcPr>
            <w:tcW w:w="1169"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p w:rsidR="00294BD0" w:rsidRDefault="00294BD0">
            <w:pPr>
              <w:spacing w:after="0" w:line="240" w:lineRule="auto"/>
              <w:jc w:val="center"/>
              <w:rPr>
                <w:rFonts w:ascii="Times New Roman" w:eastAsia="Times New Roman" w:hAnsi="Times New Roman" w:cs="Times New Roman"/>
              </w:rPr>
            </w:pPr>
          </w:p>
        </w:tc>
        <w:tc>
          <w:tcPr>
            <w:tcW w:w="1250"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X</w:t>
            </w:r>
          </w:p>
        </w:tc>
      </w:tr>
      <w:tr w:rsidR="00294BD0">
        <w:trPr>
          <w:trHeight w:val="275"/>
        </w:trPr>
        <w:tc>
          <w:tcPr>
            <w:tcW w:w="3708" w:type="dxa"/>
            <w:tcBorders>
              <w:top w:val="single" w:sz="4" w:space="0" w:color="000000"/>
              <w:left w:val="single" w:sz="4" w:space="0" w:color="000000"/>
            </w:tcBorders>
            <w:shd w:val="clear" w:color="auto" w:fill="auto"/>
            <w:vAlign w:val="center"/>
          </w:tcPr>
          <w:p w:rsidR="00294BD0" w:rsidRDefault="00294BD0">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usług edukacyjnych</w:t>
            </w:r>
          </w:p>
        </w:tc>
        <w:tc>
          <w:tcPr>
            <w:tcW w:w="1169" w:type="dxa"/>
            <w:gridSpan w:val="2"/>
            <w:tcBorders>
              <w:top w:val="single" w:sz="4" w:space="0" w:color="000000"/>
              <w:left w:val="single" w:sz="4" w:space="0" w:color="000000"/>
            </w:tcBorders>
            <w:shd w:val="clear" w:color="auto" w:fill="auto"/>
            <w:vAlign w:val="center"/>
          </w:tcPr>
          <w:p w:rsidR="00294BD0" w:rsidRDefault="00294BD0">
            <w:pPr>
              <w:snapToGrid w:val="0"/>
              <w:spacing w:after="0" w:line="240" w:lineRule="auto"/>
              <w:jc w:val="center"/>
              <w:rPr>
                <w:rFonts w:ascii="Times New Roman" w:eastAsia="Times New Roman" w:hAnsi="Times New Roman" w:cs="Times New Roman"/>
                <w:color w:val="000000"/>
              </w:rPr>
            </w:pPr>
          </w:p>
        </w:tc>
        <w:tc>
          <w:tcPr>
            <w:tcW w:w="1202"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50" w:type="dxa"/>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793" w:type="dxa"/>
            <w:gridSpan w:val="2"/>
            <w:tcBorders>
              <w:top w:val="single" w:sz="4" w:space="0" w:color="000000"/>
              <w:left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rsidR="00294BD0" w:rsidRDefault="00294BD0">
            <w:pPr>
              <w:spacing w:after="0" w:line="240" w:lineRule="auto"/>
              <w:jc w:val="center"/>
            </w:pPr>
            <w:r>
              <w:rPr>
                <w:rFonts w:ascii="Times New Roman" w:eastAsia="Times New Roman" w:hAnsi="Times New Roman" w:cs="Times New Roman"/>
                <w:color w:val="000000"/>
              </w:rPr>
              <w:t>X</w:t>
            </w:r>
          </w:p>
        </w:tc>
      </w:tr>
      <w:tr w:rsidR="00294BD0">
        <w:tblPrEx>
          <w:tblCellMar>
            <w:left w:w="108" w:type="dxa"/>
            <w:right w:w="108" w:type="dxa"/>
          </w:tblCellMar>
        </w:tblPrEx>
        <w:trPr>
          <w:trHeight w:val="357"/>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E5B8B7"/>
            <w:vAlign w:val="center"/>
          </w:tcPr>
          <w:p w:rsidR="00294BD0" w:rsidRDefault="00294BD0">
            <w:pPr>
              <w:suppressAutoHyphens/>
              <w:spacing w:after="0" w:line="240" w:lineRule="auto"/>
              <w:jc w:val="center"/>
            </w:pPr>
            <w:r>
              <w:rPr>
                <w:rFonts w:ascii="Times New Roman" w:hAnsi="Times New Roman" w:cs="Times New Roman"/>
                <w:color w:val="000000"/>
              </w:rPr>
              <w:t xml:space="preserve">Cel ogólny 3: </w:t>
            </w:r>
            <w:r>
              <w:rPr>
                <w:rFonts w:ascii="Times New Roman" w:hAnsi="Times New Roman" w:cs="Times New Roman"/>
              </w:rPr>
              <w:t>Wzrost kapitału społecznego na obszarze LGD</w:t>
            </w:r>
          </w:p>
        </w:tc>
      </w:tr>
      <w:tr w:rsidR="00294BD0">
        <w:tblPrEx>
          <w:tblCellMar>
            <w:left w:w="108" w:type="dxa"/>
            <w:right w:w="108" w:type="dxa"/>
          </w:tblCellMar>
        </w:tblPrEx>
        <w:trPr>
          <w:trHeight w:val="263"/>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F2DBDB"/>
            <w:vAlign w:val="center"/>
          </w:tcPr>
          <w:p w:rsidR="00294BD0" w:rsidRDefault="00294BD0">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Cele szczegółowe</w:t>
            </w:r>
          </w:p>
          <w:p w:rsidR="00294BD0" w:rsidRDefault="00294BD0">
            <w:pPr>
              <w:suppressAutoHyphens/>
              <w:spacing w:after="0" w:line="240" w:lineRule="auto"/>
              <w:jc w:val="center"/>
              <w:textAlignment w:val="baseline"/>
              <w:rPr>
                <w:rFonts w:ascii="Times New Roman" w:eastAsia="Times New Roman" w:hAnsi="Times New Roman" w:cs="Times New Roman"/>
                <w:color w:val="000000"/>
              </w:rPr>
            </w:pPr>
          </w:p>
        </w:tc>
      </w:tr>
      <w:tr w:rsidR="00294BD0">
        <w:trPr>
          <w:gridAfter w:val="2"/>
          <w:wAfter w:w="17" w:type="dxa"/>
        </w:trPr>
        <w:tc>
          <w:tcPr>
            <w:tcW w:w="3708" w:type="dxa"/>
            <w:tcBorders>
              <w:top w:val="single" w:sz="4" w:space="0" w:color="000000"/>
              <w:left w:val="single" w:sz="4" w:space="0" w:color="000000"/>
              <w:bottom w:val="single" w:sz="4" w:space="0" w:color="000000"/>
            </w:tcBorders>
            <w:shd w:val="clear" w:color="auto" w:fill="auto"/>
            <w:vAlign w:val="center"/>
          </w:tcPr>
          <w:p w:rsidR="00294BD0" w:rsidRDefault="00294BD0">
            <w:pPr>
              <w:suppressAutoHyphens/>
              <w:spacing w:after="0" w:line="240" w:lineRule="auto"/>
              <w:jc w:val="center"/>
              <w:rPr>
                <w:rFonts w:ascii="Times New Roman" w:eastAsia="Times New Roman" w:hAnsi="Times New Roman" w:cs="Times New Roman"/>
              </w:rPr>
            </w:pPr>
            <w:r>
              <w:rPr>
                <w:rFonts w:ascii="Times New Roman" w:hAnsi="Times New Roman" w:cs="Times New Roman"/>
                <w:i/>
              </w:rPr>
              <w:t>Zachowanie oraz promocja dziedzictwa lokalnego</w:t>
            </w:r>
          </w:p>
        </w:tc>
        <w:tc>
          <w:tcPr>
            <w:tcW w:w="37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541"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85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uppressAutoHyphens/>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uppressAutoHyphens/>
              <w:spacing w:after="0" w:line="240" w:lineRule="auto"/>
              <w:jc w:val="center"/>
              <w:textAlignment w:val="baseline"/>
            </w:pPr>
            <w:r>
              <w:rPr>
                <w:rFonts w:ascii="Times New Roman" w:eastAsia="Times New Roman" w:hAnsi="Times New Roman" w:cs="Times New Roman"/>
                <w:color w:val="000000"/>
              </w:rPr>
              <w:t>X</w:t>
            </w:r>
          </w:p>
        </w:tc>
      </w:tr>
      <w:tr w:rsidR="00294BD0">
        <w:trPr>
          <w:gridAfter w:val="2"/>
          <w:wAfter w:w="17" w:type="dxa"/>
        </w:trPr>
        <w:tc>
          <w:tcPr>
            <w:tcW w:w="3708" w:type="dxa"/>
            <w:tcBorders>
              <w:top w:val="single" w:sz="4" w:space="0" w:color="000000"/>
              <w:left w:val="single" w:sz="4" w:space="0" w:color="000000"/>
              <w:bottom w:val="single" w:sz="4" w:space="0" w:color="000000"/>
            </w:tcBorders>
            <w:shd w:val="clear" w:color="auto" w:fill="auto"/>
            <w:vAlign w:val="center"/>
          </w:tcPr>
          <w:p w:rsidR="00294BD0" w:rsidRDefault="00294BD0">
            <w:pPr>
              <w:suppressAutoHyphens/>
              <w:spacing w:after="0" w:line="240" w:lineRule="auto"/>
              <w:jc w:val="center"/>
              <w:rPr>
                <w:rFonts w:ascii="Times New Roman" w:eastAsia="Times New Roman" w:hAnsi="Times New Roman" w:cs="Times New Roman"/>
              </w:rPr>
            </w:pPr>
            <w:r>
              <w:rPr>
                <w:rFonts w:ascii="Times New Roman" w:hAnsi="Times New Roman" w:cs="Times New Roman"/>
                <w:i/>
              </w:rPr>
              <w:t>Zwiększenie zaangażowania i współpracy mieszkańców</w:t>
            </w:r>
          </w:p>
        </w:tc>
        <w:tc>
          <w:tcPr>
            <w:tcW w:w="375" w:type="dxa"/>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541" w:type="dxa"/>
            <w:gridSpan w:val="2"/>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859"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3"/>
            <w:tcBorders>
              <w:top w:val="single" w:sz="4" w:space="0" w:color="000000"/>
              <w:left w:val="single" w:sz="4" w:space="0" w:color="000000"/>
              <w:bottom w:val="single" w:sz="4" w:space="0" w:color="000000"/>
            </w:tcBorders>
            <w:shd w:val="clear" w:color="auto" w:fill="auto"/>
            <w:vAlign w:val="center"/>
          </w:tcPr>
          <w:p w:rsidR="00294BD0" w:rsidRDefault="00294BD0">
            <w:pPr>
              <w:suppressAutoHyphens/>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uppressAutoHyphens/>
              <w:spacing w:after="0" w:line="240" w:lineRule="auto"/>
              <w:jc w:val="center"/>
              <w:textAlignment w:val="baseline"/>
            </w:pPr>
            <w:r>
              <w:rPr>
                <w:rFonts w:ascii="Times New Roman" w:eastAsia="Times New Roman" w:hAnsi="Times New Roman" w:cs="Times New Roman"/>
                <w:color w:val="000000"/>
              </w:rPr>
              <w:t>X</w:t>
            </w:r>
          </w:p>
        </w:tc>
      </w:tr>
    </w:tbl>
    <w:p w:rsidR="00294BD0" w:rsidRDefault="00294BD0">
      <w:pPr>
        <w:spacing w:after="0"/>
        <w:ind w:left="426"/>
        <w:rPr>
          <w:rFonts w:ascii="Times New Roman" w:hAnsi="Times New Roman" w:cs="Times New Roman"/>
          <w:i/>
          <w:sz w:val="20"/>
          <w:szCs w:val="20"/>
        </w:rPr>
      </w:pPr>
      <w:r>
        <w:rPr>
          <w:rFonts w:ascii="Times New Roman" w:hAnsi="Times New Roman" w:cs="Times New Roman"/>
          <w:i/>
        </w:rPr>
        <w:t>(Tabela nr 29 –</w:t>
      </w:r>
      <w:r>
        <w:t xml:space="preserve"> </w:t>
      </w:r>
      <w:r>
        <w:rPr>
          <w:rFonts w:ascii="Times New Roman" w:hAnsi="Times New Roman" w:cs="Times New Roman"/>
          <w:i/>
        </w:rPr>
        <w:t>Opis zgodności i komplementarności LSR z innymi dokumentami strategiami gmin wchodzących w skład LGD- opracowanie własne LGD.</w:t>
      </w:r>
    </w:p>
    <w:p w:rsidR="00294BD0" w:rsidRDefault="00294BD0">
      <w:pPr>
        <w:spacing w:after="0"/>
        <w:ind w:left="426"/>
        <w:rPr>
          <w:rFonts w:ascii="Times New Roman" w:hAnsi="Times New Roman" w:cs="Times New Roman"/>
          <w:i/>
          <w:sz w:val="20"/>
          <w:szCs w:val="20"/>
        </w:rPr>
      </w:pPr>
    </w:p>
    <w:p w:rsidR="00294BD0" w:rsidRDefault="00294BD0">
      <w:pPr>
        <w:numPr>
          <w:ilvl w:val="0"/>
          <w:numId w:val="78"/>
        </w:numPr>
        <w:autoSpaceDE w:val="0"/>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b/>
          <w:color w:val="000000"/>
        </w:rPr>
        <w:t>Opis sposobu integrowania różnych sektorów, partnerów, zasobów czy branż</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Lokalnej Strategii Rozwoju LGD Bory Dolnośląskie uwzględniono zintegrowane podejście uwzględniające udział w realizacji poszczególnych przedsięwzięć sektorów, począwszy od osób fizycznych a skończywszy na samorządach, organizacjach pozarządowych, lokalnych przedsiębiorcach, w tym również zasobów lokalnych.</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Strategii różnorodne wykorzystanie zasobów lokalnych (historycznych, kulturowych, przyrodniczych, społecznych i gospodarczych) wpłynie pozytywnie na</w:t>
      </w:r>
      <w:r>
        <w:rPr>
          <w:rFonts w:ascii="Times New Roman" w:eastAsia="Times New Roman" w:hAnsi="Times New Roman" w:cs="Times New Roman"/>
        </w:rPr>
        <w:t xml:space="preserve"> osiągnięcie</w:t>
      </w:r>
      <w:r>
        <w:rPr>
          <w:rFonts w:ascii="Times New Roman" w:eastAsia="Times New Roman" w:hAnsi="Times New Roman" w:cs="Times New Roman"/>
          <w:color w:val="000000"/>
        </w:rPr>
        <w:t xml:space="preserve"> zaplanowanych </w:t>
      </w:r>
      <w:r>
        <w:rPr>
          <w:rFonts w:ascii="Times New Roman" w:eastAsia="Times New Roman" w:hAnsi="Times New Roman" w:cs="Times New Roman"/>
        </w:rPr>
        <w:t>celów szczegółowych. Realizacja założonych w LSR przedsięwzięć po pierwsze przyczyni do złagodzenia  zdefiniowanych w diagnozie problemów, po drugie dzięki podjęciu szeregu działań w obszarach wymagających interwencji LGD zostanie zwiększony dostęp do zatrudnienia osób z grup defaworyzowanych. Wysoki poziom bezrobocia oraz niski udział kobiet w strukturze zatrudnienia na obszarach wiejskich, niski poziom dochodów mieszkańców wsi oraz stosunkowo wysoki odsetek osób zagrożonych ubóstwem wskazuje na potrzebę wsparcia działań ułatwiających mieszkańcom znalezienie pracy, a więc wsparcie rozwoju przedsiębiorczości i tworzenia nowych miejsc pracy. Ze względu na różnice w dostępności i jakości usług publicznych pomiędzy miastem a wsią, niezbędne jest podjęcie działań na rzecz zwiększenia dostępności do wysokiej jakości usług publicznych, w szczególności w zakresie budowy lub przebudowy dróg publicznych, edukacji oraz usług. Biorąc pod uwagę rozwój turystyki jako jeden z kluczowych elementów, niezbędne jest wspieranie rozwoju ogólnodostępnej i niekomercyjnej infrastruktury: turystycznej lub rekreacyjnej. Ze względu na niski poziom aktywności mieszkańców LSR należy wzmocnić kapitał społeczny poprzez poprawę potencjału działań organizacji pozarządowych i aktywności społecznej mieszkańców oraz zachowanie dziedzictwa lokalnego.</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Wykorzystanie różnych zasobów lokalnych:</w:t>
      </w:r>
    </w:p>
    <w:p w:rsidR="00294BD0" w:rsidRDefault="00294BD0">
      <w:pPr>
        <w:numPr>
          <w:ilvl w:val="0"/>
          <w:numId w:val="38"/>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 bazie zasobów przyrodniczych, historycznych i kulturowych zostały przygotowane działania dotyczące rozwoju infrastruktury i bazy turystycznej, w tym działania dotyczące zachowania dziedzictwa kulturalnego;</w:t>
      </w:r>
    </w:p>
    <w:p w:rsidR="00294BD0" w:rsidRDefault="00294BD0">
      <w:pPr>
        <w:numPr>
          <w:ilvl w:val="0"/>
          <w:numId w:val="38"/>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 bazie zasobów społecznych i gospodarczych zostały przygotowane działania służące do rozwoju działalności gospodarczej oraz wzmacniające kapitał społeczny na obszarze Borów Dolnośląskich.</w:t>
      </w:r>
    </w:p>
    <w:p w:rsidR="00294BD0" w:rsidRDefault="00294BD0">
      <w:pPr>
        <w:autoSpaceDE w:val="0"/>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Wykorzystanie związków pomiędzy podmiotami różnych sektorów:</w:t>
      </w:r>
    </w:p>
    <w:p w:rsidR="00294BD0" w:rsidRDefault="00294BD0">
      <w:pPr>
        <w:autoSpaceDE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Planowane w Strategii przedsięwzięcia będą realizowane przez podmioty z różnych sektorów, w tym również w oparciu o formalne partnerstwa wielosektorowe zarówno na etapie planowania jak i etapie ich wdrażania</w:t>
      </w:r>
    </w:p>
    <w:p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Wykorzystanie zasobów lokalnych będzie się odbywało za pomocą różnych metod:</w:t>
      </w:r>
    </w:p>
    <w:p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 działania aktywizacyjne prowadzone przez LGD,</w:t>
      </w:r>
    </w:p>
    <w:p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 przez Beneficjentów w ramach realizacji operacji wybranych do dofinansowania.</w:t>
      </w:r>
    </w:p>
    <w:p w:rsidR="00294BD0" w:rsidRDefault="00294BD0">
      <w:pPr>
        <w:autoSpaceDE w:val="0"/>
        <w:spacing w:after="0" w:line="240" w:lineRule="auto"/>
        <w:ind w:left="284" w:firstLine="76"/>
        <w:jc w:val="both"/>
        <w:rPr>
          <w:rFonts w:ascii="Times New Roman" w:eastAsia="Times New Roman" w:hAnsi="Times New Roman" w:cs="Times New Roman"/>
          <w:color w:val="000000"/>
        </w:rPr>
      </w:pPr>
      <w:r>
        <w:rPr>
          <w:rFonts w:ascii="Times New Roman" w:eastAsia="Times New Roman" w:hAnsi="Times New Roman" w:cs="Times New Roman"/>
        </w:rPr>
        <w:t>Flagowym projektem realizującym m.in. cel szczegółowy taki jak „zwiększenia zaangażowania i współpracy mieszkańców” poprzez rozwój ofert turystycznych stanowi projekt współpracy o akronimie OK czyli Osiodłana Kraina, który realizowany będzie za pomocą różnych metod i przy zaangażowaniu różnych sektorów i partnerów. Ponadto w/w projekt jest odpowiedzią na zdiagnozowane i określone w analizie SWOT potrzeby związane z turystycznym rozwojem regionu. Jest projektem komplementarnym zapewniającym odpowiednią, logiczną i przemyślaną sekwencję działań. Porozumienie dotyczące realizacji projektu określające szczegółowo zakres działań, harmonogram, budżet i przyjęte wskaźniki stanowi załącznik do wniosku na wybór LGD do realizacji LSR.</w:t>
      </w:r>
    </w:p>
    <w:p w:rsidR="00294BD0" w:rsidRDefault="00294BD0">
      <w:pPr>
        <w:autoSpaceDE w:val="0"/>
        <w:spacing w:after="0" w:line="240" w:lineRule="auto"/>
        <w:rPr>
          <w:rFonts w:ascii="Times New Roman" w:eastAsia="Times New Roman" w:hAnsi="Times New Roman" w:cs="Times New Roman"/>
          <w:color w:val="000000"/>
        </w:rPr>
      </w:pPr>
    </w:p>
    <w:p w:rsidR="00294BD0" w:rsidRDefault="00294BD0">
      <w:pPr>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E74B5"/>
        </w:rPr>
        <w:t>Rozdział XI Monitoring i ewaluacja</w:t>
      </w:r>
    </w:p>
    <w:p w:rsidR="00294BD0" w:rsidRDefault="00294BD0">
      <w:pPr>
        <w:autoSpaceDE w:val="0"/>
        <w:spacing w:after="0" w:line="240" w:lineRule="auto"/>
        <w:rPr>
          <w:rFonts w:ascii="Times New Roman" w:eastAsia="Times New Roman" w:hAnsi="Times New Roman" w:cs="Times New Roman"/>
          <w:color w:val="000000"/>
          <w:sz w:val="24"/>
          <w:szCs w:val="24"/>
        </w:rPr>
      </w:pP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rPr>
        <w:t xml:space="preserve">Monitoring to </w:t>
      </w:r>
      <w:r>
        <w:rPr>
          <w:rFonts w:ascii="Times New Roman" w:eastAsia="Times New Roman" w:hAnsi="Times New Roman" w:cs="Times New Roman"/>
        </w:rPr>
        <w:t>proces systematycznego zbierania i analizowania ilościowych i jakościowych informacji na temat wdrażanej Lokalnej Strategii Rozwoju w aspekcie finansowym i rzeczowym.</w:t>
      </w:r>
      <w:r>
        <w:rPr>
          <w:rFonts w:ascii="Cambria" w:eastAsia="Times New Roman" w:hAnsi="Cambria" w:cs="Cambria"/>
        </w:rPr>
        <w:t xml:space="preserve"> </w:t>
      </w:r>
      <w:r>
        <w:rPr>
          <w:rFonts w:ascii="Times New Roman" w:eastAsia="Times New Roman" w:hAnsi="Times New Roman" w:cs="Times New Roman"/>
        </w:rPr>
        <w:t xml:space="preserve">Pozwala on na określenie, czy LSR jest wdrażana prawidłowo, a jej realizacja przebiega zgodnie z założeniami i czy sposób funkcjonowania stowarzyszenia przebiega w sposób gwarantujący wypełnienie wszystkich nałożonych na nie zadań. Monitorowanie służy dostarczeniu informacji, na podstawie których Zarząd, Rada i członkowie LGD mogą systematycznie dowiadywać się o występowaniu rozbieżności w realizacji planów i osiąganiu celów. Dzięki temu LGD dba o swoją stabilną sytuację finansową i podejmuje działania interwencyjne w przypadku rozbieżności lub niepowodzeń w realizacji LSR. Aspekty działań LGD </w:t>
      </w:r>
      <w:r>
        <w:rPr>
          <w:rFonts w:ascii="Times New Roman" w:eastAsia="Times New Roman" w:hAnsi="Times New Roman" w:cs="Times New Roman"/>
          <w:bCs/>
          <w:color w:val="000000"/>
        </w:rPr>
        <w:t>podlegające  monitorowaniu znajdują się w załączniku nr 2.</w:t>
      </w:r>
    </w:p>
    <w:p w:rsidR="00294BD0" w:rsidRDefault="00294BD0">
      <w:pPr>
        <w:autoSpaceDE w:val="0"/>
        <w:spacing w:after="0" w:line="240" w:lineRule="auto"/>
        <w:ind w:left="284"/>
        <w:jc w:val="both"/>
        <w:rPr>
          <w:rFonts w:ascii="Times New Roman" w:eastAsia="Times New Roman" w:hAnsi="Times New Roman" w:cs="Times New Roman"/>
          <w:color w:val="000000"/>
        </w:rPr>
      </w:pPr>
    </w:p>
    <w:p w:rsidR="00294BD0" w:rsidRDefault="00294BD0">
      <w:pPr>
        <w:autoSpaceDE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b/>
          <w:bCs/>
          <w:color w:val="000000"/>
          <w:sz w:val="23"/>
          <w:szCs w:val="23"/>
        </w:rPr>
        <w:t xml:space="preserve">Monitoring – sposoby gromadzenia danych: </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dokumentów merytorycznych i finansowych dostępnych w biurze;</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sprawozdań z ankietyzacji beneficjentów realizujących operacje;</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sprawozdań z ankietyzacji mieszkańców;</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gromadzenie danych do wskaźników produktu, rezultatu, oddziaływania oraz danych z GUS;</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dokumentacja dotycząca posiedzeń Rady i wyboru operacji;</w:t>
      </w:r>
    </w:p>
    <w:p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gromadzenie danych dotyczących wydatkowanie środków na koszty bieżące i aktywizację, projekty współpracy oraz wdrażanie LSR uzyskanych od podmiotów wdrażających;</w:t>
      </w:r>
    </w:p>
    <w:p w:rsidR="00294BD0" w:rsidRDefault="00294BD0">
      <w:pPr>
        <w:autoSpaceDE w:val="0"/>
        <w:spacing w:after="0" w:line="240" w:lineRule="auto"/>
        <w:ind w:left="720"/>
        <w:rPr>
          <w:rFonts w:ascii="Times New Roman" w:eastAsia="Times New Roman" w:hAnsi="Times New Roman" w:cs="Times New Roman"/>
        </w:rPr>
      </w:pPr>
    </w:p>
    <w:p w:rsidR="00294BD0" w:rsidRDefault="00294BD0">
      <w:pPr>
        <w:autoSpaceDE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b/>
          <w:bCs/>
          <w:color w:val="000000"/>
          <w:sz w:val="23"/>
          <w:szCs w:val="23"/>
        </w:rPr>
        <w:t xml:space="preserve">Sposoby zbierania i dokumentowania danych: </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Listy obecności;</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Badania ewaluacyjne; </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Ankiety monitorujące;</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Wywiady indywidualne; </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Oświadczenia Beneficjentów;</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Sprawozdania; </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Wnioski na operacje; </w:t>
      </w:r>
    </w:p>
    <w:p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Wnioski o płatność.</w:t>
      </w:r>
    </w:p>
    <w:p w:rsidR="00294BD0" w:rsidRDefault="00294BD0">
      <w:pPr>
        <w:autoSpaceDE w:val="0"/>
        <w:spacing w:after="0" w:line="240" w:lineRule="auto"/>
        <w:ind w:left="284"/>
        <w:jc w:val="both"/>
        <w:rPr>
          <w:rFonts w:ascii="Times New Roman" w:eastAsia="Times New Roman" w:hAnsi="Times New Roman" w:cs="Times New Roman"/>
          <w:b/>
          <w:bCs/>
        </w:rPr>
      </w:pPr>
      <w:r>
        <w:rPr>
          <w:rFonts w:ascii="Times New Roman" w:eastAsia="Times New Roman" w:hAnsi="Times New Roman" w:cs="Times New Roman"/>
        </w:rPr>
        <w:t>Organem odpowiedzialnym za prowadzenie monitoringu jest Zarząd LGD i Biuro LGD. Zarząd może zlecić wykonanie niektórych zadań ekspertom zewnętrznym. Za gromadzenie danych odpowiada biuro LGD.</w:t>
      </w:r>
    </w:p>
    <w:p w:rsidR="00294BD0" w:rsidRDefault="00294BD0">
      <w:pPr>
        <w:autoSpaceDE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b/>
          <w:bCs/>
        </w:rPr>
        <w:t xml:space="preserve">Ewaluacja </w:t>
      </w:r>
    </w:p>
    <w:p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W ramach ewaluacji dokonuje się oceny odpowiedzialności, skuteczności, efektywności i oddziaływania projektu w stosunku do założeń. Ewaluacja będzie realizowana: </w:t>
      </w:r>
    </w:p>
    <w:p w:rsidR="00294BD0" w:rsidRDefault="00294BD0">
      <w:pPr>
        <w:numPr>
          <w:ilvl w:val="0"/>
          <w:numId w:val="33"/>
        </w:numPr>
        <w:autoSpaceDE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rPr>
        <w:t>on-going</w:t>
      </w:r>
      <w:r>
        <w:rPr>
          <w:rFonts w:ascii="Times New Roman" w:eastAsia="Times New Roman" w:hAnsi="Times New Roman" w:cs="Times New Roman"/>
        </w:rPr>
        <w:t>: ewaluacja w zakresie bieżącej analizy procesu wdrażania i jego efektów oraz zmian w otoczeniu LSR, przeprowadzona cyklicznie - raz do roku w formule wewnętrznej bądź hybrydowej, a jej dominującym elementem będzie 5 godzinny warsztat refleksyjny.</w:t>
      </w:r>
    </w:p>
    <w:p w:rsidR="00294BD0" w:rsidRDefault="00294BD0">
      <w:pPr>
        <w:numPr>
          <w:ilvl w:val="0"/>
          <w:numId w:val="33"/>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ex post: </w:t>
      </w:r>
      <w:r>
        <w:rPr>
          <w:rFonts w:ascii="Times New Roman" w:eastAsia="Times New Roman" w:hAnsi="Times New Roman" w:cs="Times New Roman"/>
        </w:rPr>
        <w:t xml:space="preserve">dotyczy oceny działań w minionym okresie z perspektywy ich realizacji, odnosi się do lat 2016-2022. Dzięki ewaluacji będzie można zweryfikować osiągnięcia wskaźników, celów i przedsięwzięć opisanych we wcześniejszych rozdziałach, przeprowadzona zostanie przez zespół zewnętrznych ekspertów jednorazowo w okresie 2020-2022; </w:t>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Organem odpowiedzialnym za prowadzenie ewaluacji będzie Zarząd. Zarząd może zlecić wykonanie niektórych zadań ekspertom zewnętrznym. Za gromadzenie danych do ewaluacji odpowiada biuro LGD. Zarząd sporządzi przed każdym Walnym Zebraniem Członków, sprawozdanie za miniony rok, które powinno zawierać: </w:t>
      </w:r>
    </w:p>
    <w:p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wykaz zrealizowanych operacji z wdrażania LSR oraz działań dotyczących kosztów bieżących i aktywizacji oraz projektów współpracy wraz z informacją o efektach i finansach, </w:t>
      </w:r>
    </w:p>
    <w:p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opis uzyskanych efektów w porównaniu z założeniami, </w:t>
      </w:r>
    </w:p>
    <w:p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analizę dotyczącą wpływu przedsięwzięć na osiąganie celów LSR, </w:t>
      </w:r>
    </w:p>
    <w:p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wnioski w formie uwag i rekomendacji otrzymanych w wyniku zebranych ankiet monitorujących w ramach realizacji Planu Komunikacyjnego,</w:t>
      </w:r>
    </w:p>
    <w:p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wnioski Rady dotyczące uwag na temat Kryteriów Wyboru Operacji/Grantów.</w:t>
      </w:r>
    </w:p>
    <w:p w:rsidR="00294BD0" w:rsidRDefault="00294BD0">
      <w:pPr>
        <w:autoSpaceDE w:val="0"/>
        <w:spacing w:after="0" w:line="240" w:lineRule="auto"/>
        <w:jc w:val="both"/>
        <w:rPr>
          <w:rFonts w:ascii="Times New Roman" w:eastAsia="Times New Roman" w:hAnsi="Times New Roman" w:cs="Times New Roman"/>
        </w:rPr>
      </w:pPr>
    </w:p>
    <w:p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Sprawozdanie będzie podawane do wiadomości publicznej zgodnie z zasadą jawności. Informacje uzyskane w trakcie monitoringu i ewaluacji będą służyły aktualizacji LSR-u, Kryteriów Wyboru Operacji/Grantów, procedur oraz sposobu funkcjonowania poszczególnych organów LGD czy biura.</w:t>
      </w:r>
    </w:p>
    <w:p w:rsidR="002948CB" w:rsidRDefault="00294BD0" w:rsidP="002948CB">
      <w:pPr>
        <w:autoSpaceDE w:val="0"/>
        <w:spacing w:after="0" w:line="240" w:lineRule="auto"/>
        <w:ind w:left="426"/>
        <w:jc w:val="both"/>
        <w:rPr>
          <w:rFonts w:ascii="Times New Roman" w:eastAsia="Times New Roman" w:hAnsi="Times New Roman" w:cs="Times New Roman"/>
          <w:b/>
          <w:color w:val="2E74B5"/>
        </w:rPr>
      </w:pPr>
      <w:r>
        <w:rPr>
          <w:rFonts w:ascii="Times New Roman" w:eastAsia="Times New Roman" w:hAnsi="Times New Roman" w:cs="Times New Roman"/>
        </w:rPr>
        <w:t>Tabela zawierająca informacje na temat planowanego zakresu realizacji działań ewaluacyjnych, osób lub organów odpowiedzialnych na prowadzenie ewaluacji, sposobów wykonywania badań ewaluacyjnych, czas ich trwania oraz propozycję oceny poszczególnych elementów stanowi załącznik nr 2.</w:t>
      </w:r>
    </w:p>
    <w:p w:rsidR="00294BD0" w:rsidRPr="002948CB" w:rsidRDefault="00294BD0" w:rsidP="002948CB">
      <w:pPr>
        <w:autoSpaceDE w:val="0"/>
        <w:spacing w:after="0" w:line="240" w:lineRule="auto"/>
        <w:ind w:left="426"/>
        <w:jc w:val="both"/>
        <w:rPr>
          <w:rFonts w:ascii="Times New Roman" w:eastAsia="Times New Roman" w:hAnsi="Times New Roman" w:cs="Times New Roman"/>
          <w:b/>
          <w:color w:val="2E74B5"/>
        </w:rPr>
      </w:pPr>
      <w:r w:rsidRPr="00FD7A2C">
        <w:rPr>
          <w:rFonts w:ascii="Times New Roman" w:eastAsia="Times New Roman" w:hAnsi="Times New Roman" w:cs="Times New Roman"/>
          <w:b/>
        </w:rPr>
        <w:t>Rozdział XII Strategiczna ocena oddziaływania na środowisko</w:t>
      </w:r>
    </w:p>
    <w:p w:rsidR="00FD7A2C" w:rsidRDefault="00FD7A2C">
      <w:pPr>
        <w:autoSpaceDE w:val="0"/>
        <w:spacing w:after="0" w:line="240" w:lineRule="auto"/>
        <w:ind w:firstLine="708"/>
        <w:rPr>
          <w:rFonts w:ascii="Times New Roman" w:hAnsi="Times New Roman" w:cs="Times New Roman"/>
        </w:rPr>
      </w:pPr>
    </w:p>
    <w:p w:rsidR="00294BD0" w:rsidRDefault="00294BD0">
      <w:pPr>
        <w:autoSpaceDE w:val="0"/>
        <w:spacing w:after="0" w:line="240" w:lineRule="auto"/>
        <w:ind w:firstLine="708"/>
        <w:rPr>
          <w:rFonts w:ascii="Times New Roman" w:eastAsia="Times New Roman" w:hAnsi="Times New Roman" w:cs="Times New Roman"/>
        </w:rPr>
        <w:sectPr w:rsidR="00294BD0">
          <w:footerReference w:type="default" r:id="rId26"/>
          <w:pgSz w:w="11906" w:h="17338"/>
          <w:pgMar w:top="1418" w:right="851" w:bottom="851" w:left="851" w:header="708" w:footer="708" w:gutter="0"/>
          <w:cols w:space="708"/>
          <w:docGrid w:linePitch="600" w:charSpace="36864"/>
        </w:sectPr>
      </w:pPr>
      <w:r>
        <w:rPr>
          <w:rFonts w:ascii="Times New Roman" w:hAnsi="Times New Roman" w:cs="Times New Roman"/>
        </w:rPr>
        <w:t xml:space="preserve">Stowarzyszenie LGD Bory Dolnośląskie przeprowadziło analizę LSR pod kątem spełnienia kryteriów kwalifikujących do strategicznej oceny oddziaływania na środowisko. W jej wyniku wysłano pismo do Regionalnej Dyrekcji Ochrony Środowiska z prośbą o odstąpienie od przeprowadzenia strategicznej oceny oddziaływania na środowisko dla projektu w/w dokumentu. W przypadku podejmowania działań związanych z zajęciem terenu na potrzeby realizacji wymienionych w Strategii priorytetów, na wykonawcy będzie ciążył obowiązek przeprowadzenia osobnej procedury oceny oddziaływania na środowisko, w wyniku której zostaną określone i podjęte kroki mające na celu odpowiednie zabezpieczenie stanowisk roślin lub zwierząt chronionych, w tym gatunków i siedlisk wymienionych w załącznikach do dyrektyw unijnych. Z uwagi na fakt, że gminy wchodzące w skład LGD znajdują się na obszarze dwóch województw (lubuskiego i dolnośląskiego) decyzja, o której mowa powyżej musiała zostać wydana przez </w:t>
      </w:r>
      <w:r>
        <w:rPr>
          <w:rFonts w:ascii="Times New Roman" w:hAnsi="Times New Roman" w:cs="Times New Roman"/>
          <w:bCs/>
          <w:color w:val="000000"/>
        </w:rPr>
        <w:t>Regionalną Dyrekcję Ochrony Środowiska</w:t>
      </w:r>
      <w:r>
        <w:rPr>
          <w:rFonts w:ascii="Times New Roman" w:hAnsi="Times New Roman" w:cs="Times New Roman"/>
          <w:color w:val="000000"/>
        </w:rPr>
        <w:t xml:space="preserve"> </w:t>
      </w:r>
      <w:r>
        <w:rPr>
          <w:rFonts w:ascii="Times New Roman" w:hAnsi="Times New Roman" w:cs="Times New Roman"/>
          <w:bCs/>
          <w:color w:val="000000"/>
        </w:rPr>
        <w:t xml:space="preserve">w Gorzowie Wielkopolskim w porozumieniu z Regionalną Dyrekcją Ochrony Środowiska we Wrocławiu. Wspomniany organ </w:t>
      </w:r>
      <w:r>
        <w:rPr>
          <w:rFonts w:ascii="Times New Roman" w:hAnsi="Times New Roman" w:cs="Times New Roman"/>
          <w:color w:val="000000"/>
        </w:rPr>
        <w:t>podjął decyzję o odstąpieniu od przeprowadzenia strategicznej oceny oddziaływania na środowisko dla dokumentu pn. „</w:t>
      </w:r>
      <w:r>
        <w:rPr>
          <w:rFonts w:ascii="Times New Roman" w:hAnsi="Times New Roman" w:cs="Times New Roman"/>
          <w:bCs/>
          <w:color w:val="000000"/>
        </w:rPr>
        <w:t>Strategia Rozwoju Lokalnego Grupy Kierowanego przez Społeczność”.</w:t>
      </w:r>
    </w:p>
    <w:p w:rsidR="00294BD0" w:rsidRDefault="00294BD0">
      <w:pPr>
        <w:spacing w:after="0" w:line="240" w:lineRule="auto"/>
        <w:rPr>
          <w:rFonts w:ascii="Times New Roman" w:eastAsia="Times New Roman" w:hAnsi="Times New Roman" w:cs="Times New Roman"/>
          <w:i/>
        </w:rPr>
      </w:pPr>
      <w:r>
        <w:rPr>
          <w:rFonts w:ascii="Times New Roman" w:eastAsia="Times New Roman" w:hAnsi="Times New Roman" w:cs="Times New Roman"/>
        </w:rPr>
        <w:t>Wykaz tabel:</w:t>
      </w:r>
    </w:p>
    <w:p w:rsidR="00294BD0" w:rsidRDefault="00294BD0">
      <w:pPr>
        <w:numPr>
          <w:ilvl w:val="0"/>
          <w:numId w:val="79"/>
        </w:numPr>
        <w:spacing w:after="0" w:line="240" w:lineRule="auto"/>
        <w:ind w:left="284" w:hanging="284"/>
        <w:rPr>
          <w:rFonts w:ascii="Times New Roman" w:eastAsia="Times New Roman" w:hAnsi="Times New Roman" w:cs="Times New Roman"/>
          <w:i/>
          <w:color w:val="000000"/>
        </w:rPr>
      </w:pPr>
      <w:r>
        <w:rPr>
          <w:rFonts w:ascii="Times New Roman" w:eastAsia="Times New Roman" w:hAnsi="Times New Roman" w:cs="Times New Roman"/>
          <w:i/>
        </w:rPr>
        <w:t xml:space="preserve"> Tabela nr 1 – Skład członkowski Stowarzyszenia LGD Bory Dolnośląskie.</w:t>
      </w:r>
    </w:p>
    <w:p w:rsidR="00294BD0" w:rsidRDefault="00294BD0">
      <w:pPr>
        <w:numPr>
          <w:ilvl w:val="0"/>
          <w:numId w:val="79"/>
        </w:numPr>
        <w:autoSpaceDE w:val="0"/>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2 – Charakterystyka pełnionych funkcji w Stowarzyszeniu LGD Bory Dolnośląskie na dzień 13.05.2013r.</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3 – Wykaz członków LGD.</w:t>
      </w:r>
    </w:p>
    <w:p w:rsidR="00294BD0" w:rsidRDefault="00294BD0">
      <w:pPr>
        <w:numPr>
          <w:ilvl w:val="0"/>
          <w:numId w:val="79"/>
        </w:numPr>
        <w:spacing w:after="0"/>
        <w:ind w:left="284" w:hanging="284"/>
        <w:rPr>
          <w:rFonts w:ascii="Times New Roman" w:eastAsia="Times New Roman" w:hAnsi="Times New Roman" w:cs="Times New Roman"/>
          <w:i/>
        </w:rPr>
      </w:pPr>
      <w:r>
        <w:rPr>
          <w:rFonts w:ascii="Times New Roman" w:eastAsia="Times New Roman" w:hAnsi="Times New Roman" w:cs="Times New Roman"/>
          <w:i/>
          <w:color w:val="000000"/>
        </w:rPr>
        <w:t>Tabela nr 4 - Warunki techniczne i lokalowe biura.</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rPr>
        <w:t>Tabela nr 5 – Skład organu decyzyjnego Stowarzyszenia LGD Bory Dolnośląskie.</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6 – Etapy prac nad Strategią oraz wykorzystane do tego celu narzędzia.</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7 – Struktura demograficzna mieszkańców z obszaru LGD.</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8 – Gęstość zaludnienia.</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9 – Struktura ludności gmin objętych LSR.</w:t>
      </w:r>
    </w:p>
    <w:p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10 – Stopień feminizacji na terenach gmin objętych LSR.</w:t>
      </w:r>
    </w:p>
    <w:p w:rsidR="00294BD0" w:rsidRDefault="00294BD0">
      <w:pPr>
        <w:numPr>
          <w:ilvl w:val="0"/>
          <w:numId w:val="79"/>
        </w:numPr>
        <w:spacing w:after="0"/>
        <w:ind w:left="284" w:hanging="284"/>
        <w:rPr>
          <w:rFonts w:ascii="Times New Roman" w:hAnsi="Times New Roman" w:cs="Times New Roman"/>
          <w:i/>
        </w:rPr>
      </w:pPr>
      <w:r>
        <w:rPr>
          <w:rFonts w:ascii="Times New Roman" w:eastAsia="Times New Roman" w:hAnsi="Times New Roman" w:cs="Times New Roman"/>
          <w:i/>
          <w:color w:val="000000"/>
        </w:rPr>
        <w:t>Tabela nr 11 - Liczba podmiotów gospodarki narodowej wpisanych do rejestru REGON. Stan na dzień 31.12.2013r.</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12 - Wskaźniki dochodu podatkowego dla poszczególnych gmin na 2015.</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13 - Dane dotyczące liczby bezrobotnych i osób w wieku produkcyjnym Stan na dzień 31.12.2013r.</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14 – Liczba bezrobotnych kobiet.</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15 –</w:t>
      </w:r>
      <w:r>
        <w:rPr>
          <w:rFonts w:ascii="Times New Roman" w:eastAsia="Times New Roman" w:hAnsi="Times New Roman" w:cs="Times New Roman"/>
          <w:i/>
        </w:rPr>
        <w:t xml:space="preserve"> Poziom bezrobocia według płci i wieku. Stan na 31.12.2013r.</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16 – Poziom zatrudnienia wśród kobiet.</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17 – Liczba mieszkańców korzystających z pomocy społecznej w poszczególnych powiatach.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18 - </w:t>
      </w:r>
      <w:r>
        <w:rPr>
          <w:rFonts w:ascii="Times New Roman" w:eastAsia="Times New Roman" w:hAnsi="Times New Roman" w:cs="Times New Roman"/>
          <w:i/>
        </w:rPr>
        <w:t xml:space="preserve">Liczba gospodarstw i osób z nich korzystających z pomocy społecznej stan na dzień 31.12.2013r.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19 – Analiza SWOT. Mocne strony LGD.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20 – Analiza SWOT. Słabe strony LGD. </w:t>
      </w:r>
    </w:p>
    <w:p w:rsidR="00294BD0" w:rsidRDefault="00294BD0">
      <w:pPr>
        <w:numPr>
          <w:ilvl w:val="0"/>
          <w:numId w:val="79"/>
        </w:numPr>
        <w:spacing w:after="0"/>
        <w:ind w:left="284" w:hanging="284"/>
        <w:rPr>
          <w:rFonts w:ascii="Times New Roman" w:eastAsia="Times New Roman" w:hAnsi="Times New Roman" w:cs="Times New Roman"/>
          <w:i/>
        </w:rPr>
      </w:pPr>
      <w:r>
        <w:rPr>
          <w:rFonts w:ascii="Times New Roman" w:hAnsi="Times New Roman" w:cs="Times New Roman"/>
          <w:i/>
        </w:rPr>
        <w:t xml:space="preserve">Tabela nr 21 – Analiza SWOT. Szanse LGD. </w:t>
      </w:r>
    </w:p>
    <w:p w:rsidR="00294BD0" w:rsidRDefault="00294BD0">
      <w:pPr>
        <w:numPr>
          <w:ilvl w:val="0"/>
          <w:numId w:val="79"/>
        </w:numPr>
        <w:spacing w:after="0"/>
        <w:ind w:left="284" w:hanging="284"/>
        <w:rPr>
          <w:rFonts w:ascii="Times New Roman" w:hAnsi="Times New Roman" w:cs="Times New Roman"/>
          <w:i/>
        </w:rPr>
      </w:pPr>
      <w:r>
        <w:rPr>
          <w:rFonts w:ascii="Times New Roman" w:eastAsia="Times New Roman" w:hAnsi="Times New Roman" w:cs="Times New Roman"/>
          <w:i/>
        </w:rPr>
        <w:t xml:space="preserve">Tabela nr 22 – Analiza SWOT. Zagrożenia LGD. </w:t>
      </w:r>
    </w:p>
    <w:p w:rsidR="00294BD0" w:rsidRDefault="00294BD0">
      <w:pPr>
        <w:numPr>
          <w:ilvl w:val="0"/>
          <w:numId w:val="79"/>
        </w:numPr>
        <w:spacing w:after="0"/>
        <w:ind w:left="284" w:hanging="284"/>
        <w:rPr>
          <w:rFonts w:ascii="Times New Roman" w:hAnsi="Times New Roman" w:cs="Times New Roman"/>
        </w:rPr>
      </w:pPr>
      <w:r>
        <w:rPr>
          <w:rFonts w:ascii="Times New Roman" w:hAnsi="Times New Roman" w:cs="Times New Roman"/>
          <w:i/>
        </w:rPr>
        <w:t>Tabela nr 23 – Matryce logicznych powiązań dla wszystkich celów ogólnych LSR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rPr>
        <w:t xml:space="preserve">Tabela nr 24 – </w:t>
      </w:r>
      <w:r>
        <w:rPr>
          <w:rFonts w:ascii="Times New Roman" w:hAnsi="Times New Roman" w:cs="Times New Roman"/>
          <w:i/>
        </w:rPr>
        <w:t xml:space="preserve">Cele i Wskaźniki dla 1 celu ogólnego tj. Pobudzanie lokalnej przedsiębiorczości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25 – Cele i Wskaźniki dla 2 celu ogólnego tj. Lepsze wykorzystanie potencjału przyrodniczego i kulturowego w rozwoju regionu</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26 – Cele i Wskaźniki dla 3 celu ogólnego tj. Wzrost kapitału społecznego na obszarze LGD </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27 – Budżet celów szczegółowych LSR</w:t>
      </w:r>
    </w:p>
    <w:p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 Tabela nr 28 – Opis zgodności i komplementarności LSR z innymi dokumentami planistycznymi/strategiami </w:t>
      </w:r>
    </w:p>
    <w:p w:rsidR="00294BD0" w:rsidRDefault="00294BD0">
      <w:pPr>
        <w:numPr>
          <w:ilvl w:val="0"/>
          <w:numId w:val="79"/>
        </w:numPr>
        <w:spacing w:after="0"/>
        <w:ind w:left="284" w:hanging="284"/>
        <w:rPr>
          <w:rFonts w:ascii="Cambria" w:eastAsia="Times New Roman" w:hAnsi="Cambria" w:cs="Cambria"/>
          <w:sz w:val="24"/>
          <w:szCs w:val="24"/>
        </w:rPr>
      </w:pPr>
      <w:r>
        <w:rPr>
          <w:rFonts w:ascii="Times New Roman" w:hAnsi="Times New Roman" w:cs="Times New Roman"/>
          <w:i/>
        </w:rPr>
        <w:t>Tabela nr 32 – Opis zgodności i komplementarności LSR z innymi dokumentami strategiami gmin wchodzących w skład LGD- opracowanie własne LGD)</w:t>
      </w:r>
    </w:p>
    <w:p w:rsidR="00294BD0" w:rsidRDefault="00294BD0">
      <w:pPr>
        <w:spacing w:after="0" w:line="240" w:lineRule="auto"/>
        <w:rPr>
          <w:rFonts w:ascii="Cambria" w:eastAsia="Times New Roman" w:hAnsi="Cambria" w:cs="Cambria"/>
          <w:sz w:val="24"/>
          <w:szCs w:val="24"/>
        </w:rPr>
      </w:pPr>
    </w:p>
    <w:p w:rsidR="00294BD0" w:rsidRDefault="00294BD0">
      <w:pPr>
        <w:spacing w:after="0" w:line="240" w:lineRule="auto"/>
        <w:rPr>
          <w:rFonts w:ascii="Times New Roman" w:eastAsia="Times New Roman" w:hAnsi="Times New Roman" w:cs="Times New Roman"/>
          <w:b/>
          <w:i/>
        </w:rPr>
      </w:pPr>
      <w:r>
        <w:rPr>
          <w:rFonts w:ascii="Cambria" w:eastAsia="Times New Roman" w:hAnsi="Cambria" w:cs="Cambria"/>
          <w:sz w:val="24"/>
          <w:szCs w:val="24"/>
        </w:rPr>
        <w:t>Wykaz wykresów:</w:t>
      </w:r>
    </w:p>
    <w:p w:rsidR="00294BD0" w:rsidRDefault="00294BD0">
      <w:pP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rPr>
        <w:t xml:space="preserve">Wykres 1. </w:t>
      </w:r>
      <w:r>
        <w:rPr>
          <w:rFonts w:ascii="Times New Roman" w:eastAsia="Times New Roman" w:hAnsi="Times New Roman" w:cs="Times New Roman"/>
          <w:i/>
        </w:rPr>
        <w:t>Struktura odpowiedzi na</w:t>
      </w:r>
      <w:r>
        <w:rPr>
          <w:rFonts w:ascii="Times New Roman" w:eastAsia="Times New Roman" w:hAnsi="Times New Roman" w:cs="Times New Roman"/>
          <w:b/>
          <w:i/>
        </w:rPr>
        <w:t xml:space="preserve"> </w:t>
      </w:r>
      <w:r>
        <w:rPr>
          <w:rFonts w:ascii="Times New Roman" w:eastAsia="Times New Roman" w:hAnsi="Times New Roman" w:cs="Times New Roman"/>
          <w:i/>
        </w:rPr>
        <w:t>pytania o skłonność zaangażowania się na rzecz społeczności lokalnej  - samych respondentów (N=585) i mieszkańców gminy ogółem (N=593)</w:t>
      </w:r>
      <w:r>
        <w:rPr>
          <w:rFonts w:ascii="Calibri Light" w:eastAsia="Times New Roman" w:hAnsi="Calibri Light" w:cs="Calibri Light"/>
          <w:sz w:val="24"/>
          <w:szCs w:val="24"/>
        </w:rPr>
        <w:t xml:space="preserve">, </w:t>
      </w:r>
      <w:r>
        <w:rPr>
          <w:rFonts w:ascii="Times New Roman" w:eastAsia="Times New Roman" w:hAnsi="Times New Roman" w:cs="Times New Roman"/>
          <w:i/>
        </w:rPr>
        <w:t>Źródło: Raport z badań ewaluacyjnych</w:t>
      </w:r>
    </w:p>
    <w:p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i/>
          <w:color w:val="000000"/>
        </w:rPr>
        <w:t>Wykres nr 2</w:t>
      </w:r>
      <w:r>
        <w:rPr>
          <w:rFonts w:ascii="Times New Roman" w:eastAsia="Times New Roman" w:hAnsi="Times New Roman" w:cs="Times New Roman"/>
          <w:i/>
          <w:color w:val="000000"/>
        </w:rPr>
        <w:t xml:space="preserve"> - Struktura demograficzna mieszkańców z obszaru LGD. Dane GUS – BDL</w:t>
      </w:r>
    </w:p>
    <w:p w:rsidR="00294BD0" w:rsidRDefault="00294BD0">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rPr>
        <w:t xml:space="preserve">Wykres 3. </w:t>
      </w:r>
      <w:r>
        <w:rPr>
          <w:rFonts w:ascii="Times New Roman" w:eastAsia="Times New Roman" w:hAnsi="Times New Roman" w:cs="Times New Roman"/>
          <w:i/>
        </w:rPr>
        <w:t>Najważniejsze problemy, jakie respondent zauważa w swojej gminie. Źródło – raport z badań ewaluacyjnych</w:t>
      </w:r>
    </w:p>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i/>
          <w:color w:val="000000"/>
        </w:rPr>
        <w:t>Wykres 4.</w:t>
      </w:r>
      <w:r>
        <w:rPr>
          <w:rFonts w:ascii="Times New Roman" w:eastAsia="Times New Roman" w:hAnsi="Times New Roman" w:cs="Times New Roman"/>
          <w:i/>
          <w:color w:val="000000"/>
        </w:rPr>
        <w:t xml:space="preserve"> Intensywność ruchu turystycznego na obszarze LGD. Źródło – GUS/Bank Danych Lokalnych</w:t>
      </w:r>
    </w:p>
    <w:p w:rsidR="00294BD0" w:rsidRDefault="00294BD0">
      <w:pPr>
        <w:spacing w:after="0" w:line="240" w:lineRule="auto"/>
        <w:rPr>
          <w:rFonts w:ascii="Times New Roman" w:eastAsia="Times New Roman" w:hAnsi="Times New Roman" w:cs="Times New Roman"/>
          <w:b/>
        </w:rPr>
      </w:pPr>
    </w:p>
    <w:p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Załącznik nr 1</w:t>
      </w:r>
    </w:p>
    <w:p w:rsidR="00294BD0" w:rsidRDefault="00294BD0">
      <w:pPr>
        <w:spacing w:after="0" w:line="240" w:lineRule="auto"/>
        <w:rPr>
          <w:rFonts w:ascii="Times New Roman" w:eastAsia="Times New Roman" w:hAnsi="Times New Roman" w:cs="Times New Roman"/>
          <w:b/>
        </w:rPr>
      </w:pPr>
    </w:p>
    <w:p w:rsidR="00294BD0" w:rsidRDefault="00294BD0" w:rsidP="00C403FF">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PROCEDURA AKTUALIZACJI</w:t>
      </w:r>
    </w:p>
    <w:p w:rsidR="00294BD0" w:rsidRDefault="00294BD0">
      <w:pPr>
        <w:autoSpaceDE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Strategii Rozwoju Lokalnego Kierowanego przez Społeczność</w:t>
      </w:r>
    </w:p>
    <w:p w:rsidR="00294BD0" w:rsidRDefault="00294BD0">
      <w:pPr>
        <w:autoSpaceDE w:val="0"/>
        <w:spacing w:after="0" w:line="240" w:lineRule="auto"/>
        <w:jc w:val="both"/>
        <w:rPr>
          <w:rFonts w:ascii="Times New Roman" w:eastAsia="Times New Roman" w:hAnsi="Times New Roman" w:cs="Times New Roman"/>
          <w:color w:val="000000"/>
        </w:rPr>
      </w:pPr>
    </w:p>
    <w:p w:rsidR="00294BD0" w:rsidRDefault="00294BD0">
      <w:p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Proces aktualizowania LSR będzie uwzględniał udział społeczności lokalnej i będzie prowadzony w następujący sposób: </w:t>
      </w:r>
    </w:p>
    <w:p w:rsidR="00294BD0" w:rsidRDefault="00294BD0">
      <w:pPr>
        <w:autoSpaceDE w:val="0"/>
        <w:spacing w:after="0" w:line="240" w:lineRule="auto"/>
        <w:ind w:firstLine="708"/>
        <w:jc w:val="center"/>
        <w:rPr>
          <w:rFonts w:ascii="Times New Roman" w:eastAsia="Times New Roman" w:hAnsi="Times New Roman" w:cs="Times New Roman"/>
          <w:color w:val="000000"/>
        </w:rPr>
      </w:pPr>
      <w:r>
        <w:rPr>
          <w:rFonts w:ascii="Times New Roman" w:eastAsia="Times New Roman" w:hAnsi="Times New Roman" w:cs="Times New Roman"/>
          <w:b/>
          <w:color w:val="000000"/>
        </w:rPr>
        <w:t>Przebieg procedury</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Możliwość składania uwag, wniosków i propozycji zmian mają wszyscy członkowie LGD oraz mieszkańcy obszaru objętego działaniem LGD.</w:t>
      </w:r>
    </w:p>
    <w:p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Członkowie LGD i mieszkańcy swoje uwagi, wnioski czy propozycje zmian składają w formie pisemnej poprzez wypełnienie przygotowanej do tego celu ankiety badającej poziom satysfakcji i dostarczenie jej do siedziby LGD (osobiście, listownie, faxem, mailem itp.).</w:t>
      </w:r>
    </w:p>
    <w:p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Ankieta będzie rozpowszechniana podczas bezpośrednich spotkań oraz zostanie zamieszczona na stronie internetowej LGD z możliwością złożenia ewentualnych uwag, wniosków czy propozycji zmian. </w:t>
      </w:r>
    </w:p>
    <w:p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Ankiety można składać w dowolnym terminie.</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Uwagi otrzymane za pomocą ankiet będą analizowane w biurze LGD przez pracowników biura i Zarządu.</w:t>
      </w:r>
    </w:p>
    <w:p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Zarząd, który może skorzystać z pomocy ekspertów, przeprowadzić odpowiednie badania lub analizy, skorzystać z wyników monitorowania i ewaluacji; </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Przygotowane zestawienie uwag, wniosków i propozycji zmian będzie przedstawiane przez Zarząd na najbliższym Walnym Zgromadzeniu Członków Stowarzyszenia.</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Aktualizacja może być dokonywana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 częściej niż raz do roku, przy czym ostatnia powinna się odbyć w roku 2023;</w:t>
      </w:r>
      <w:r>
        <w:rPr>
          <w:rFonts w:ascii="Times New Roman" w:eastAsia="Times New Roman" w:hAnsi="Times New Roman" w:cs="Times New Roman"/>
          <w:color w:val="FF0000"/>
        </w:rPr>
        <w:t xml:space="preserve"> </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Zarząd będzie odpowiadać za przyjęcie zaktualizowanego dokumentu w drodze uchwały; </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wykonanie uchwały dotyczącej przyjęcia zmienionej Strategii Rozwoju Lokalnego odpowiadać będzie Zarząd.</w:t>
      </w:r>
    </w:p>
    <w:p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Zaktualizowany dokument zostanie umieszczony na stronach internetowych LGD;</w:t>
      </w:r>
    </w:p>
    <w:p w:rsidR="00294BD0" w:rsidRDefault="00294BD0">
      <w:pPr>
        <w:numPr>
          <w:ilvl w:val="0"/>
          <w:numId w:val="80"/>
        </w:numPr>
        <w:autoSpaceDE w:val="0"/>
        <w:spacing w:after="0" w:line="240" w:lineRule="auto"/>
        <w:jc w:val="both"/>
        <w:rPr>
          <w:rFonts w:eastAsia="Times New Roman"/>
          <w:color w:val="000000"/>
          <w:sz w:val="24"/>
          <w:szCs w:val="24"/>
        </w:rPr>
      </w:pPr>
      <w:r>
        <w:rPr>
          <w:rFonts w:ascii="Times New Roman" w:eastAsia="Times New Roman" w:hAnsi="Times New Roman" w:cs="Times New Roman"/>
          <w:color w:val="000000"/>
        </w:rPr>
        <w:t xml:space="preserve">Proces aktualizacji jest zgodny ze statutem LGD, regulaminem Walnego Zebrania, Rady, Zarządu. </w:t>
      </w:r>
    </w:p>
    <w:p w:rsidR="00294BD0" w:rsidRDefault="00294BD0">
      <w:pPr>
        <w:autoSpaceDE w:val="0"/>
        <w:spacing w:after="0" w:line="360" w:lineRule="auto"/>
        <w:ind w:left="720"/>
        <w:jc w:val="both"/>
        <w:rPr>
          <w:rFonts w:eastAsia="Times New Roman"/>
          <w:color w:val="000000"/>
          <w:sz w:val="24"/>
          <w:szCs w:val="24"/>
        </w:rPr>
      </w:pPr>
    </w:p>
    <w:p w:rsidR="00294BD0" w:rsidRPr="002948CB" w:rsidRDefault="00294BD0">
      <w:pPr>
        <w:tabs>
          <w:tab w:val="left" w:pos="3435"/>
        </w:tabs>
        <w:rPr>
          <w:rFonts w:ascii="Cambria" w:eastAsia="Times New Roman" w:hAnsi="Cambria" w:cs="Cambria"/>
          <w:sz w:val="24"/>
          <w:szCs w:val="24"/>
        </w:rPr>
      </w:pPr>
      <w:r>
        <w:rPr>
          <w:rFonts w:ascii="Times New Roman" w:eastAsia="Times New Roman" w:hAnsi="Times New Roman" w:cs="Times New Roman"/>
          <w:b/>
        </w:rPr>
        <w:t>Załącznik nr 2 Procedury dokonywania monitoringu i ewaluacji</w:t>
      </w:r>
    </w:p>
    <w:p w:rsidR="00294BD0" w:rsidRDefault="00294BD0">
      <w:p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rPr>
        <w:t xml:space="preserve">Monitorowaniu będą podlegać następujące aspekty działań LGD: </w:t>
      </w:r>
    </w:p>
    <w:tbl>
      <w:tblPr>
        <w:tblW w:w="0" w:type="auto"/>
        <w:tblInd w:w="108" w:type="dxa"/>
        <w:tblLayout w:type="fixed"/>
        <w:tblLook w:val="0000" w:firstRow="0" w:lastRow="0" w:firstColumn="0" w:lastColumn="0" w:noHBand="0" w:noVBand="0"/>
      </w:tblPr>
      <w:tblGrid>
        <w:gridCol w:w="1923"/>
        <w:gridCol w:w="2070"/>
        <w:gridCol w:w="1954"/>
        <w:gridCol w:w="1793"/>
        <w:gridCol w:w="2484"/>
      </w:tblGrid>
      <w:tr w:rsidR="00294BD0">
        <w:tc>
          <w:tcPr>
            <w:tcW w:w="1923"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Zakres badania</w:t>
            </w:r>
          </w:p>
        </w:tc>
        <w:tc>
          <w:tcPr>
            <w:tcW w:w="2070"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Wykonawca</w:t>
            </w:r>
          </w:p>
        </w:tc>
        <w:tc>
          <w:tcPr>
            <w:tcW w:w="1954"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Sposób wykonania badania</w:t>
            </w:r>
          </w:p>
        </w:tc>
        <w:tc>
          <w:tcPr>
            <w:tcW w:w="1793"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Czas badania</w:t>
            </w:r>
          </w:p>
        </w:tc>
        <w:tc>
          <w:tcPr>
            <w:tcW w:w="24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D0" w:rsidRDefault="00294BD0">
            <w:pPr>
              <w:autoSpaceDE w:val="0"/>
              <w:spacing w:after="0" w:line="240" w:lineRule="auto"/>
              <w:jc w:val="center"/>
            </w:pPr>
            <w:r>
              <w:rPr>
                <w:rFonts w:ascii="Times New Roman" w:eastAsia="Times New Roman" w:hAnsi="Times New Roman" w:cs="Times New Roman"/>
                <w:b/>
              </w:rPr>
              <w:t>Ocena</w:t>
            </w:r>
          </w:p>
        </w:tc>
      </w:tr>
      <w:tr w:rsidR="00294BD0">
        <w:tc>
          <w:tcPr>
            <w:tcW w:w="10224" w:type="dxa"/>
            <w:gridSpan w:val="5"/>
            <w:tcBorders>
              <w:top w:val="single" w:sz="4" w:space="0" w:color="000000"/>
              <w:left w:val="single" w:sz="4" w:space="0" w:color="000000"/>
              <w:bottom w:val="single" w:sz="4" w:space="0" w:color="000000"/>
              <w:right w:val="single" w:sz="4" w:space="0" w:color="000000"/>
            </w:tcBorders>
            <w:shd w:val="clear" w:color="auto" w:fill="D99594"/>
            <w:vAlign w:val="center"/>
          </w:tcPr>
          <w:p w:rsidR="00294BD0" w:rsidRDefault="00294BD0">
            <w:pPr>
              <w:autoSpaceDE w:val="0"/>
              <w:spacing w:after="0" w:line="240" w:lineRule="auto"/>
              <w:jc w:val="center"/>
            </w:pPr>
            <w:r>
              <w:rPr>
                <w:rFonts w:ascii="Times New Roman" w:eastAsia="Times New Roman" w:hAnsi="Times New Roman" w:cs="Times New Roman"/>
                <w:b/>
              </w:rPr>
              <w:t>Elementy podlegające monitorowaniu</w:t>
            </w:r>
          </w:p>
        </w:tc>
      </w:tr>
      <w:tr w:rsidR="00294BD0">
        <w:trPr>
          <w:trHeight w:val="912"/>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Działalność biura i pracowników LGD oraz Zarządu</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Badanie poziomu satysfakcji</w:t>
            </w:r>
          </w:p>
          <w:p w:rsidR="00294BD0" w:rsidRDefault="00294BD0">
            <w:pPr>
              <w:autoSpaceDE w:val="0"/>
              <w:spacing w:after="0" w:line="240" w:lineRule="auto"/>
              <w:jc w:val="center"/>
              <w:rPr>
                <w:rFonts w:ascii="Times New Roman" w:eastAsia="Times New Roman" w:hAnsi="Times New Roman" w:cs="Times New Roman"/>
                <w:b/>
              </w:rPr>
            </w:pPr>
          </w:p>
        </w:tc>
        <w:tc>
          <w:tcPr>
            <w:tcW w:w="1793"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Czas pomiaru:</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 bieżąco – co rok;</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Okres objęty pomiarem:</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Poprzedni rok</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pracy pracowników, sposobu przekazywania istotnych informacji, jakości świadczonego doradztwa</w:t>
            </w:r>
          </w:p>
        </w:tc>
      </w:tr>
      <w:tr w:rsidR="00294BD0">
        <w:trPr>
          <w:trHeight w:val="912"/>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realizacji LSR</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Sprawozdania z realizacji operacji, rejestr danych LGD</w:t>
            </w:r>
          </w:p>
        </w:tc>
        <w:tc>
          <w:tcPr>
            <w:tcW w:w="179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Stopień realizacji wskaźników określonych w LSR</w:t>
            </w:r>
          </w:p>
        </w:tc>
      </w:tr>
      <w:tr w:rsidR="00294BD0">
        <w:trPr>
          <w:trHeight w:val="912"/>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Eksperci prowadzący szkolenia i udzielający doradztwo;</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Ankiety monitorujące otrzymane od osób uczestniczących w szkoleniu i korzystających z doradztwa</w:t>
            </w:r>
          </w:p>
        </w:tc>
        <w:tc>
          <w:tcPr>
            <w:tcW w:w="179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jakości świadczonych usług szkoleniowo-doradczych</w:t>
            </w:r>
          </w:p>
        </w:tc>
      </w:tr>
      <w:tr w:rsidR="00294BD0">
        <w:trPr>
          <w:trHeight w:val="912"/>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Budżet</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Rejestr danych LGD</w:t>
            </w:r>
          </w:p>
        </w:tc>
        <w:tc>
          <w:tcPr>
            <w:tcW w:w="179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Stopień wykorzystania budżetu</w:t>
            </w:r>
          </w:p>
        </w:tc>
      </w:tr>
      <w:tr w:rsidR="00294BD0">
        <w:trPr>
          <w:trHeight w:val="458"/>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Harmonogram ogłaszanych konkursów</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Rejestr ogłoszonych konkursów</w:t>
            </w:r>
          </w:p>
        </w:tc>
        <w:tc>
          <w:tcPr>
            <w:tcW w:w="179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Zgodność ogłaszania konkursów z harmonogramem konkursów LSR, ocena zainteresowania konkursami</w:t>
            </w:r>
          </w:p>
        </w:tc>
      </w:tr>
      <w:tr w:rsidR="00294BD0">
        <w:trPr>
          <w:trHeight w:val="457"/>
        </w:trPr>
        <w:tc>
          <w:tcPr>
            <w:tcW w:w="1923"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Zainteresowanie stroną internetową LGD</w:t>
            </w:r>
          </w:p>
        </w:tc>
        <w:tc>
          <w:tcPr>
            <w:tcW w:w="2070"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odwiedzających stronę – dane od administratora www</w:t>
            </w:r>
          </w:p>
        </w:tc>
        <w:tc>
          <w:tcPr>
            <w:tcW w:w="1793"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Skuteczność przekazywania/ uzyskiwania informacji na temat działalności LGD</w:t>
            </w:r>
          </w:p>
        </w:tc>
      </w:tr>
    </w:tbl>
    <w:p w:rsidR="00294BD0" w:rsidRDefault="00294BD0">
      <w:pPr>
        <w:autoSpaceDE w:val="0"/>
        <w:spacing w:after="0" w:line="240" w:lineRule="auto"/>
        <w:rPr>
          <w:rFonts w:ascii="Times New Roman" w:eastAsia="Times New Roman" w:hAnsi="Times New Roman" w:cs="Times New Roman"/>
          <w:b/>
          <w:bCs/>
          <w:color w:val="000000"/>
          <w:sz w:val="20"/>
          <w:szCs w:val="20"/>
        </w:rPr>
      </w:pPr>
    </w:p>
    <w:p w:rsidR="00294BD0" w:rsidRDefault="00294BD0">
      <w:pPr>
        <w:autoSpaceDE w:val="0"/>
        <w:spacing w:after="0" w:line="240" w:lineRule="auto"/>
        <w:rPr>
          <w:rFonts w:ascii="Times New Roman" w:hAnsi="Times New Roman" w:cs="Times New Roman"/>
          <w:i/>
        </w:rPr>
      </w:pPr>
      <w:r>
        <w:rPr>
          <w:rFonts w:ascii="Times New Roman" w:eastAsia="Times New Roman" w:hAnsi="Times New Roman" w:cs="Times New Roman"/>
          <w:b/>
          <w:bCs/>
          <w:color w:val="000000"/>
        </w:rPr>
        <w:t xml:space="preserve">Ewaluacji będą podlegać następujące aspekty działań LGD: </w:t>
      </w:r>
    </w:p>
    <w:p w:rsidR="00294BD0" w:rsidRDefault="00294BD0">
      <w:pPr>
        <w:spacing w:after="0"/>
        <w:rPr>
          <w:rFonts w:ascii="Times New Roman" w:hAnsi="Times New Roman" w:cs="Times New Roman"/>
          <w:i/>
        </w:rPr>
      </w:pPr>
    </w:p>
    <w:tbl>
      <w:tblPr>
        <w:tblW w:w="0" w:type="auto"/>
        <w:tblInd w:w="-15" w:type="dxa"/>
        <w:tblLayout w:type="fixed"/>
        <w:tblLook w:val="0000" w:firstRow="0" w:lastRow="0" w:firstColumn="0" w:lastColumn="0" w:noHBand="0" w:noVBand="0"/>
      </w:tblPr>
      <w:tblGrid>
        <w:gridCol w:w="2068"/>
        <w:gridCol w:w="2069"/>
        <w:gridCol w:w="2069"/>
        <w:gridCol w:w="2069"/>
        <w:gridCol w:w="2099"/>
      </w:tblGrid>
      <w:tr w:rsidR="00294BD0">
        <w:tc>
          <w:tcPr>
            <w:tcW w:w="2068"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Zakres badania</w:t>
            </w:r>
          </w:p>
        </w:tc>
        <w:tc>
          <w:tcPr>
            <w:tcW w:w="2069"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Wykonawca</w:t>
            </w:r>
          </w:p>
        </w:tc>
        <w:tc>
          <w:tcPr>
            <w:tcW w:w="2069"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Sposób wykonania badania</w:t>
            </w:r>
          </w:p>
        </w:tc>
        <w:tc>
          <w:tcPr>
            <w:tcW w:w="2069" w:type="dxa"/>
            <w:tcBorders>
              <w:top w:val="single" w:sz="4" w:space="0" w:color="000000"/>
              <w:left w:val="single" w:sz="4" w:space="0" w:color="000000"/>
              <w:bottom w:val="single" w:sz="4" w:space="0" w:color="000000"/>
            </w:tcBorders>
            <w:shd w:val="clear" w:color="auto" w:fill="BFBFBF"/>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Czas badania</w:t>
            </w:r>
          </w:p>
        </w:tc>
        <w:tc>
          <w:tcPr>
            <w:tcW w:w="20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94BD0" w:rsidRDefault="00294BD0">
            <w:pPr>
              <w:autoSpaceDE w:val="0"/>
              <w:spacing w:after="0" w:line="240" w:lineRule="auto"/>
              <w:jc w:val="center"/>
            </w:pPr>
            <w:r>
              <w:rPr>
                <w:rFonts w:ascii="Times New Roman" w:eastAsia="Times New Roman" w:hAnsi="Times New Roman" w:cs="Times New Roman"/>
                <w:b/>
              </w:rPr>
              <w:t>Ocena</w:t>
            </w:r>
          </w:p>
        </w:tc>
      </w:tr>
      <w:tr w:rsidR="00294BD0">
        <w:tc>
          <w:tcPr>
            <w:tcW w:w="10374" w:type="dxa"/>
            <w:gridSpan w:val="5"/>
            <w:tcBorders>
              <w:top w:val="single" w:sz="4" w:space="0" w:color="000000"/>
              <w:left w:val="single" w:sz="4" w:space="0" w:color="000000"/>
              <w:bottom w:val="single" w:sz="4" w:space="0" w:color="000000"/>
              <w:right w:val="single" w:sz="4" w:space="0" w:color="000000"/>
            </w:tcBorders>
            <w:shd w:val="clear" w:color="auto" w:fill="D60093"/>
            <w:vAlign w:val="center"/>
          </w:tcPr>
          <w:p w:rsidR="00294BD0" w:rsidRDefault="00294BD0">
            <w:pPr>
              <w:autoSpaceDE w:val="0"/>
              <w:spacing w:after="0" w:line="240" w:lineRule="auto"/>
              <w:jc w:val="center"/>
            </w:pPr>
            <w:r>
              <w:rPr>
                <w:rFonts w:ascii="Times New Roman" w:eastAsia="Times New Roman" w:hAnsi="Times New Roman" w:cs="Times New Roman"/>
                <w:b/>
              </w:rPr>
              <w:t>Ewaluacja funkcjonowania LGD</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strike/>
                <w:color w:val="000000"/>
              </w:rPr>
            </w:pP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Bieżąca działalność biura LGD</w:t>
            </w:r>
          </w:p>
        </w:tc>
        <w:tc>
          <w:tcPr>
            <w:tcW w:w="2069"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Ankiety monitorujące otrzymane od osób uczestniczących w szkoleniu i korzystających z doradztwa;</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ankiety otrzymane w ramach badania poziomu satysfakcji;</w:t>
            </w:r>
          </w:p>
          <w:p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spotkanie bezpośrednie;</w:t>
            </w:r>
          </w:p>
          <w:p w:rsidR="00294BD0" w:rsidRDefault="00294BD0">
            <w:pPr>
              <w:autoSpaceDE w:val="0"/>
              <w:spacing w:after="0" w:line="240" w:lineRule="auto"/>
              <w:rPr>
                <w:rFonts w:ascii="Times New Roman" w:eastAsia="Times New Roman" w:hAnsi="Times New Roman" w:cs="Times New Roman"/>
                <w:b/>
                <w:bCs/>
              </w:rPr>
            </w:pPr>
          </w:p>
        </w:tc>
        <w:tc>
          <w:tcPr>
            <w:tcW w:w="2069"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Czas pomiaru:</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półrocze roku następującego po roku ocenianym;</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Okres objęty pomiarem:</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cały rok kalendarzowy</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w:t>
            </w:r>
            <w:r>
              <w:rPr>
                <w:rFonts w:ascii="Times New Roman" w:eastAsia="Times New Roman" w:hAnsi="Times New Roman" w:cs="Times New Roman"/>
                <w:strike/>
              </w:rPr>
              <w:t>,</w:t>
            </w:r>
            <w:r>
              <w:rPr>
                <w:rFonts w:ascii="Times New Roman" w:eastAsia="Times New Roman" w:hAnsi="Times New Roman" w:cs="Times New Roman"/>
              </w:rPr>
              <w:t xml:space="preserve"> jakości świadczonego doradztwa, zbieranie opinii (uwag, problemów, wniosków) o odbiorze realizacji LSR;</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Działalność organów LGD</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opinia Zarządu,</w:t>
            </w:r>
          </w:p>
          <w:p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funkcjonowania (uczestnictwo w szkoleniach i posiedzeniach organu, przestrzeganie regulaminów, stosowanie procedur)</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Realizacja Planu Komunikacyjnego i aktywizacja społeczności lokalnej</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skuteczności prowadzonych działań komunikacyjnych i animacyjnych</w:t>
            </w:r>
          </w:p>
        </w:tc>
      </w:tr>
      <w:tr w:rsidR="00294BD0">
        <w:tc>
          <w:tcPr>
            <w:tcW w:w="10374" w:type="dxa"/>
            <w:gridSpan w:val="5"/>
            <w:tcBorders>
              <w:top w:val="single" w:sz="4" w:space="0" w:color="000000"/>
              <w:left w:val="single" w:sz="4" w:space="0" w:color="000000"/>
              <w:bottom w:val="single" w:sz="4" w:space="0" w:color="000000"/>
              <w:right w:val="single" w:sz="4" w:space="0" w:color="000000"/>
            </w:tcBorders>
            <w:shd w:val="clear" w:color="auto" w:fill="D60093"/>
            <w:vAlign w:val="center"/>
          </w:tcPr>
          <w:p w:rsidR="00294BD0" w:rsidRDefault="00294BD0">
            <w:pPr>
              <w:autoSpaceDE w:val="0"/>
              <w:spacing w:after="0" w:line="240" w:lineRule="auto"/>
              <w:jc w:val="center"/>
            </w:pPr>
            <w:r>
              <w:rPr>
                <w:rFonts w:ascii="Times New Roman" w:eastAsia="Times New Roman" w:hAnsi="Times New Roman" w:cs="Times New Roman"/>
                <w:b/>
              </w:rPr>
              <w:t>Ewaluacja wdrażania LSR</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Ocena realizacji Strategii Rozwoju Lokalnego Kierowanego przez Społeczność</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Zewnętrzni eksperci (ocena zewnętrzna);</w:t>
            </w:r>
          </w:p>
          <w:p w:rsidR="00294BD0" w:rsidRDefault="00294BD0">
            <w:pPr>
              <w:autoSpaceDE w:val="0"/>
              <w:spacing w:after="0" w:line="240" w:lineRule="auto"/>
              <w:jc w:val="center"/>
              <w:rPr>
                <w:rFonts w:ascii="Times New Roman" w:eastAsia="Times New Roman" w:hAnsi="Times New Roman" w:cs="Times New Roman"/>
              </w:rPr>
            </w:pP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Badanie przeprowadzone przez zewnętrzny zespół ekspertów</w:t>
            </w:r>
          </w:p>
          <w:p w:rsidR="00294BD0" w:rsidRDefault="00294BD0">
            <w:pPr>
              <w:autoSpaceDE w:val="0"/>
              <w:spacing w:after="0" w:line="240" w:lineRule="auto"/>
              <w:jc w:val="center"/>
              <w:rPr>
                <w:rFonts w:ascii="Times New Roman" w:eastAsia="Times New Roman" w:hAnsi="Times New Roman" w:cs="Times New Roman"/>
                <w:b/>
              </w:rPr>
            </w:pP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2020-2022</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wpływu na główne cele LSR, ocena wpływu na kapitał społeczny, przedsiębiorczość, turystyka i dziedzictwo kulturowe, grupy defaworyzowane, innowacyjność, projekty współpracy, ocena funkcjonowania LGD, ocena procesu wdrażania, wartość dodana podejścia LEADER</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Procedury związane z wyborem operacji</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Ankiety otrzymane w ramach badania poziomu satysfakcji</w:t>
            </w:r>
          </w:p>
        </w:tc>
        <w:tc>
          <w:tcPr>
            <w:tcW w:w="2069" w:type="dxa"/>
            <w:vMerge w:val="restart"/>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Czas pomiaru:</w:t>
            </w:r>
          </w:p>
          <w:p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I półrocze roku następującego po roku ocenianym;</w:t>
            </w:r>
          </w:p>
          <w:p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Okres objęty pomiarem:</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cały rok kalendarzowy</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jakości stosowanych procedur</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Lokalne Kryteria Wyboru</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jakości stosowanych Lokalnych Kryteriów Wyboru</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Budżet</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Rejestr danych LGD</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pPr>
            <w:r>
              <w:rPr>
                <w:rFonts w:ascii="Times New Roman" w:eastAsia="Times New Roman" w:hAnsi="Times New Roman" w:cs="Times New Roman"/>
              </w:rPr>
              <w:t>Ocena zgodności i wysokości wydatkowania środków finansowych z budżetu na poszczególne działania</w:t>
            </w:r>
          </w:p>
        </w:tc>
      </w:tr>
      <w:tr w:rsidR="00294BD0">
        <w:tc>
          <w:tcPr>
            <w:tcW w:w="2068"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Harmonogram rzeczowo-finansowy</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Rejestr danych LGD</w:t>
            </w:r>
          </w:p>
        </w:tc>
        <w:tc>
          <w:tcPr>
            <w:tcW w:w="2069" w:type="dxa"/>
            <w:vMerge/>
            <w:tcBorders>
              <w:top w:val="single" w:sz="4" w:space="0" w:color="000000"/>
              <w:left w:val="single" w:sz="4" w:space="0" w:color="000000"/>
              <w:bottom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r>
    </w:tbl>
    <w:p w:rsidR="00294BD0" w:rsidRDefault="00294BD0">
      <w:pPr>
        <w:sectPr w:rsidR="00294BD0" w:rsidSect="00AC4ED1">
          <w:footerReference w:type="default" r:id="rId27"/>
          <w:pgSz w:w="11906" w:h="17338"/>
          <w:pgMar w:top="1418" w:right="851" w:bottom="851" w:left="851" w:header="708" w:footer="708" w:gutter="0"/>
          <w:cols w:space="708"/>
          <w:docGrid w:linePitch="600" w:charSpace="36864"/>
        </w:sectPr>
      </w:pPr>
    </w:p>
    <w:p w:rsidR="00294BD0" w:rsidRDefault="00294BD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rPr>
        <w:t xml:space="preserve">Załącznik nr 3 </w:t>
      </w:r>
      <w:r>
        <w:rPr>
          <w:rFonts w:ascii="Times New Roman" w:eastAsia="Times New Roman" w:hAnsi="Times New Roman" w:cs="Times New Roman"/>
          <w:color w:val="000000"/>
        </w:rPr>
        <w:t>Plan działania wskazujący harmonogram osiągania poszczególnych wskaźników produktu</w:t>
      </w:r>
    </w:p>
    <w:p w:rsidR="00294BD0" w:rsidRDefault="00294BD0">
      <w:pPr>
        <w:autoSpaceDE w:val="0"/>
        <w:spacing w:after="0" w:line="240" w:lineRule="auto"/>
        <w:rPr>
          <w:rFonts w:ascii="Times New Roman" w:eastAsia="Times New Roman" w:hAnsi="Times New Roman" w:cs="Times New Roman"/>
          <w:b/>
          <w:color w:val="000000"/>
          <w:sz w:val="20"/>
          <w:szCs w:val="20"/>
        </w:rPr>
      </w:pPr>
    </w:p>
    <w:p w:rsidR="00294BD0" w:rsidRDefault="00294BD0">
      <w:pPr>
        <w:spacing w:after="0" w:line="240" w:lineRule="auto"/>
        <w:rPr>
          <w:rFonts w:ascii="Times New Roman" w:eastAsia="Times New Roman" w:hAnsi="Times New Roman" w:cs="Times New Roman"/>
          <w:sz w:val="20"/>
          <w:szCs w:val="20"/>
        </w:rPr>
      </w:pPr>
    </w:p>
    <w:tbl>
      <w:tblPr>
        <w:tblW w:w="16014" w:type="dxa"/>
        <w:tblInd w:w="-15" w:type="dxa"/>
        <w:tblLayout w:type="fixed"/>
        <w:tblLook w:val="0000" w:firstRow="0" w:lastRow="0" w:firstColumn="0" w:lastColumn="0" w:noHBand="0" w:noVBand="0"/>
      </w:tblPr>
      <w:tblGrid>
        <w:gridCol w:w="1384"/>
        <w:gridCol w:w="1134"/>
        <w:gridCol w:w="851"/>
        <w:gridCol w:w="850"/>
        <w:gridCol w:w="1418"/>
        <w:gridCol w:w="850"/>
        <w:gridCol w:w="992"/>
        <w:gridCol w:w="1134"/>
        <w:gridCol w:w="709"/>
        <w:gridCol w:w="1417"/>
        <w:gridCol w:w="16"/>
        <w:gridCol w:w="835"/>
        <w:gridCol w:w="15"/>
        <w:gridCol w:w="552"/>
        <w:gridCol w:w="15"/>
        <w:gridCol w:w="1403"/>
        <w:gridCol w:w="15"/>
        <w:gridCol w:w="1119"/>
        <w:gridCol w:w="15"/>
        <w:gridCol w:w="221"/>
        <w:gridCol w:w="1054"/>
        <w:gridCol w:w="15"/>
      </w:tblGrid>
      <w:tr w:rsidR="00294BD0" w:rsidRPr="004A429A" w:rsidTr="005B7FFE">
        <w:tc>
          <w:tcPr>
            <w:tcW w:w="1384" w:type="dxa"/>
            <w:vMerge w:val="restart"/>
            <w:tcBorders>
              <w:top w:val="single" w:sz="4" w:space="0" w:color="000000"/>
              <w:left w:val="single" w:sz="4" w:space="0" w:color="000000"/>
              <w:bottom w:val="single" w:sz="4" w:space="0" w:color="000000"/>
            </w:tcBorders>
            <w:shd w:val="clear" w:color="auto" w:fill="FF944B"/>
          </w:tcPr>
          <w:p w:rsidR="00294BD0" w:rsidRPr="004A429A" w:rsidRDefault="00294BD0">
            <w:pPr>
              <w:spacing w:after="120" w:line="276" w:lineRule="auto"/>
              <w:rPr>
                <w:rFonts w:ascii="Times New Roman" w:hAnsi="Times New Roman" w:cs="Times New Roman"/>
                <w:b/>
                <w:sz w:val="16"/>
                <w:szCs w:val="16"/>
                <w:lang w:val="en-US" w:eastAsia="en-US" w:bidi="en-US"/>
              </w:rPr>
            </w:pPr>
            <w:bookmarkStart w:id="2" w:name="_Hlk67851695"/>
            <w:bookmarkEnd w:id="2"/>
            <w:r w:rsidRPr="004A429A">
              <w:rPr>
                <w:rFonts w:ascii="Times New Roman" w:hAnsi="Times New Roman" w:cs="Times New Roman"/>
                <w:b/>
                <w:sz w:val="18"/>
                <w:szCs w:val="18"/>
                <w:lang w:val="en-US" w:eastAsia="en-US" w:bidi="en-US"/>
              </w:rPr>
              <w:t>CEL OGÓLNY nr1 Pobudzanie lokalnej przedsięborczości</w:t>
            </w:r>
          </w:p>
        </w:tc>
        <w:tc>
          <w:tcPr>
            <w:tcW w:w="1134" w:type="dxa"/>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w:t>
            </w:r>
            <w:r w:rsidR="00BD04CF" w:rsidRPr="004A429A">
              <w:rPr>
                <w:rFonts w:ascii="Times New Roman" w:hAnsi="Times New Roman" w:cs="Times New Roman"/>
                <w:b/>
                <w:sz w:val="16"/>
                <w:szCs w:val="16"/>
                <w:lang w:val="en-US" w:eastAsia="en-US" w:bidi="en-US"/>
              </w:rPr>
              <w:t>4</w:t>
            </w:r>
          </w:p>
        </w:tc>
        <w:tc>
          <w:tcPr>
            <w:tcW w:w="1985"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w:t>
            </w:r>
            <w:r w:rsidR="00BD04CF" w:rsidRPr="004A429A">
              <w:rPr>
                <w:rFonts w:ascii="Times New Roman" w:hAnsi="Times New Roman" w:cs="Times New Roman"/>
                <w:b/>
                <w:sz w:val="16"/>
                <w:szCs w:val="16"/>
                <w:lang w:val="en-US" w:eastAsia="en-US" w:bidi="en-US"/>
              </w:rPr>
              <w:t>4</w:t>
            </w:r>
          </w:p>
        </w:tc>
        <w:tc>
          <w:tcPr>
            <w:tcW w:w="1134" w:type="dxa"/>
            <w:gridSpan w:val="2"/>
            <w:tcBorders>
              <w:top w:val="single" w:sz="4" w:space="0" w:color="000000"/>
              <w:left w:val="single" w:sz="4" w:space="0" w:color="000000"/>
              <w:bottom w:val="single" w:sz="4" w:space="0" w:color="000000"/>
            </w:tcBorders>
            <w:shd w:val="clear" w:color="auto" w:fill="FE9786"/>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 / zakres Programu</w:t>
            </w:r>
          </w:p>
        </w:tc>
      </w:tr>
      <w:tr w:rsidR="00294BD0" w:rsidRPr="004A429A" w:rsidTr="005B7FFE">
        <w:tc>
          <w:tcPr>
            <w:tcW w:w="1384" w:type="dxa"/>
            <w:vMerge/>
            <w:tcBorders>
              <w:top w:val="single" w:sz="4" w:space="0" w:color="000000"/>
              <w:left w:val="single" w:sz="4" w:space="0" w:color="000000"/>
              <w:bottom w:val="single" w:sz="4" w:space="0" w:color="000000"/>
            </w:tcBorders>
            <w:shd w:val="clear" w:color="auto" w:fill="FF944B"/>
          </w:tcPr>
          <w:p w:rsidR="00294BD0" w:rsidRPr="004A429A" w:rsidRDefault="00294BD0">
            <w:pPr>
              <w:snapToGrid w:val="0"/>
              <w:spacing w:after="120" w:line="276" w:lineRule="auto"/>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709"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582" w:type="dxa"/>
            <w:gridSpan w:val="3"/>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03"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1.1 Tworzenie warunków do zakładania przedsiębiorstw na obszarze LGD</w:t>
            </w:r>
          </w:p>
        </w:tc>
        <w:tc>
          <w:tcPr>
            <w:tcW w:w="1134" w:type="dxa"/>
            <w:gridSpan w:val="2"/>
            <w:tcBorders>
              <w:top w:val="single" w:sz="4" w:space="0" w:color="000000"/>
              <w:left w:val="single" w:sz="4" w:space="0" w:color="000000"/>
              <w:bottom w:val="single" w:sz="4" w:space="0" w:color="000000"/>
            </w:tcBorders>
            <w:shd w:val="clear" w:color="auto" w:fill="FEC4BA"/>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236"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2838"/>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1.1.1  Podniesienie poziomu wiedzy z zakresu możliwości aplikowania o środki na działania związane z podejmowaniem działaności gospodarczej</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godzin udzielonego indywidualnego doradztwa z zakresu podejmowania działalności gospodarczej </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45,45</w:t>
            </w:r>
            <w:r w:rsidR="00294BD0"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500,00</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90,90</w:t>
            </w:r>
            <w:r w:rsidR="00294BD0"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CF601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2 godziny</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0,00</w:t>
            </w:r>
          </w:p>
        </w:tc>
        <w:tc>
          <w:tcPr>
            <w:tcW w:w="582" w:type="dxa"/>
            <w:gridSpan w:val="3"/>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w:t>
            </w:r>
            <w:r w:rsidR="006324AF">
              <w:rPr>
                <w:rFonts w:ascii="Times New Roman" w:hAnsi="Times New Roman" w:cs="Times New Roman"/>
                <w:sz w:val="16"/>
                <w:szCs w:val="16"/>
                <w:lang w:val="en-US" w:eastAsia="en-US" w:bidi="en-US"/>
              </w:rPr>
              <w:t>2</w:t>
            </w:r>
            <w:r w:rsidRPr="004A429A">
              <w:rPr>
                <w:rFonts w:ascii="Times New Roman" w:hAnsi="Times New Roman" w:cs="Times New Roman"/>
                <w:sz w:val="16"/>
                <w:szCs w:val="16"/>
                <w:lang w:val="en-US" w:eastAsia="en-US" w:bidi="en-US"/>
              </w:rPr>
              <w:t xml:space="preserve"> godzin</w:t>
            </w:r>
          </w:p>
        </w:tc>
        <w:tc>
          <w:tcPr>
            <w:tcW w:w="1403"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19.4 Koszty bieżące i Aktywizacja</w:t>
            </w:r>
          </w:p>
        </w:tc>
      </w:tr>
      <w:tr w:rsidR="00294BD0" w:rsidRPr="004A429A" w:rsidTr="005B7FFE">
        <w:trPr>
          <w:trHeight w:val="461"/>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1.1.2 </w:t>
            </w:r>
            <w:r w:rsidRPr="004A429A">
              <w:rPr>
                <w:rFonts w:ascii="Times New Roman" w:hAnsi="Times New Roman" w:cs="Times New Roman"/>
                <w:sz w:val="16"/>
                <w:szCs w:val="16"/>
                <w:lang w:eastAsia="en-US" w:bidi="en-US"/>
              </w:rPr>
              <w:t>Powstanie nowych przedsiębiorstw</w:t>
            </w:r>
            <w:r w:rsidRPr="004A429A">
              <w:rPr>
                <w:rFonts w:ascii="Times New Roman" w:hAnsi="Times New Roman" w:cs="Times New Roman"/>
                <w:sz w:val="16"/>
                <w:szCs w:val="16"/>
                <w:lang w:val="en-US" w:eastAsia="en-US" w:bidi="en-US"/>
              </w:rPr>
              <w:t xml:space="preserve"> Przedsięwzięcie</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val="en-US" w:eastAsia="en-US" w:bidi="en-US"/>
              </w:rPr>
              <w:br/>
              <w:t>zrealizowanych operacji</w:t>
            </w:r>
            <w:r w:rsidRPr="004A429A">
              <w:rPr>
                <w:rFonts w:ascii="Times New Roman" w:hAnsi="Times New Roman" w:cs="Times New Roman"/>
                <w:sz w:val="16"/>
                <w:szCs w:val="16"/>
                <w:lang w:val="en-US" w:eastAsia="en-US" w:bidi="en-US"/>
              </w:rPr>
              <w:br/>
              <w:t xml:space="preserve"> polegających </w:t>
            </w:r>
            <w:r w:rsidRPr="004A429A">
              <w:rPr>
                <w:rFonts w:ascii="Times New Roman" w:hAnsi="Times New Roman" w:cs="Times New Roman"/>
                <w:sz w:val="16"/>
                <w:szCs w:val="16"/>
                <w:lang w:val="en-US" w:eastAsia="en-US" w:bidi="en-US"/>
              </w:rPr>
              <w:br/>
              <w:t>na utworzeniu nowego przedsięborstwa</w:t>
            </w: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 szt.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AF628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10,87%</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117 814,26</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15 szt.</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F5754B"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4</w:t>
            </w:r>
            <w:r w:rsidR="00AF6280" w:rsidRPr="004A429A">
              <w:rPr>
                <w:rFonts w:ascii="Times New Roman" w:hAnsi="Times New Roman" w:cs="Times New Roman"/>
                <w:sz w:val="16"/>
                <w:szCs w:val="16"/>
                <w:lang w:val="en-US" w:eastAsia="en-US" w:bidi="en-US"/>
              </w:rPr>
              <w:t>3</w:t>
            </w:r>
            <w:r w:rsidRPr="004A429A">
              <w:rPr>
                <w:rFonts w:ascii="Times New Roman" w:hAnsi="Times New Roman" w:cs="Times New Roman"/>
                <w:sz w:val="16"/>
                <w:szCs w:val="16"/>
                <w:lang w:val="en-US" w:eastAsia="en-US" w:bidi="en-US"/>
              </w:rPr>
              <w:t>,48</w:t>
            </w:r>
            <w:r w:rsidR="00AF6280" w:rsidRPr="004A429A">
              <w:rPr>
                <w:rFonts w:ascii="Times New Roman" w:hAnsi="Times New Roman" w:cs="Times New Roman"/>
                <w:sz w:val="16"/>
                <w:szCs w:val="16"/>
                <w:lang w:val="en-US" w:eastAsia="en-US" w:bidi="en-US"/>
              </w:rPr>
              <w:t>%</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6B19BD" w:rsidRDefault="00294BD0" w:rsidP="00814B49">
            <w:pPr>
              <w:spacing w:after="0" w:line="276" w:lineRule="auto"/>
              <w:jc w:val="center"/>
              <w:rPr>
                <w:rFonts w:ascii="Times New Roman" w:hAnsi="Times New Roman" w:cs="Times New Roman"/>
                <w:strike/>
                <w:sz w:val="16"/>
                <w:szCs w:val="16"/>
                <w:lang w:val="en-US" w:eastAsia="en-US" w:bidi="en-US"/>
              </w:rPr>
            </w:pPr>
            <w:r w:rsidRPr="006B19BD">
              <w:rPr>
                <w:rFonts w:ascii="Times New Roman" w:hAnsi="Times New Roman" w:cs="Times New Roman"/>
                <w:strike/>
                <w:sz w:val="16"/>
                <w:szCs w:val="16"/>
              </w:rPr>
              <w:t>332 589, 57</w:t>
            </w:r>
          </w:p>
          <w:p w:rsidR="00294BD0" w:rsidRPr="006B19BD" w:rsidRDefault="006B19BD" w:rsidP="00814B49">
            <w:pPr>
              <w:spacing w:after="0" w:line="276" w:lineRule="auto"/>
              <w:jc w:val="center"/>
              <w:rPr>
                <w:rFonts w:ascii="Times New Roman" w:hAnsi="Times New Roman" w:cs="Times New Roman"/>
                <w:color w:val="FF0000"/>
                <w:sz w:val="16"/>
                <w:szCs w:val="16"/>
                <w:lang w:val="en-US" w:eastAsia="en-US" w:bidi="en-US"/>
              </w:rPr>
            </w:pPr>
            <w:r w:rsidRPr="006B19BD">
              <w:rPr>
                <w:rFonts w:ascii="Times New Roman" w:hAnsi="Times New Roman" w:cs="Times New Roman"/>
                <w:color w:val="FF0000"/>
                <w:sz w:val="16"/>
                <w:szCs w:val="16"/>
                <w:lang w:val="en-US" w:eastAsia="en-US" w:bidi="en-US"/>
              </w:rPr>
              <w:t>3</w:t>
            </w:r>
            <w:r w:rsidR="00187741">
              <w:rPr>
                <w:rFonts w:ascii="Times New Roman" w:hAnsi="Times New Roman" w:cs="Times New Roman"/>
                <w:color w:val="FF0000"/>
                <w:sz w:val="16"/>
                <w:szCs w:val="16"/>
                <w:lang w:val="en-US" w:eastAsia="en-US" w:bidi="en-US"/>
              </w:rPr>
              <w:t>50488</w:t>
            </w:r>
            <w:r w:rsidRPr="006B19BD">
              <w:rPr>
                <w:rFonts w:ascii="Times New Roman" w:hAnsi="Times New Roman" w:cs="Times New Roman"/>
                <w:color w:val="FF0000"/>
                <w:sz w:val="16"/>
                <w:szCs w:val="16"/>
                <w:lang w:val="en-US" w:eastAsia="en-US" w:bidi="en-US"/>
              </w:rPr>
              <w:t>,5</w:t>
            </w:r>
            <w:r w:rsidR="00187741">
              <w:rPr>
                <w:rFonts w:ascii="Times New Roman" w:hAnsi="Times New Roman" w:cs="Times New Roman"/>
                <w:color w:val="FF0000"/>
                <w:sz w:val="16"/>
                <w:szCs w:val="16"/>
                <w:lang w:val="en-US" w:eastAsia="en-US" w:bidi="en-US"/>
              </w:rPr>
              <w:t>5</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D43161" w:rsidP="006324AF">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26</w:t>
            </w:r>
            <w:r w:rsidR="00294BD0" w:rsidRPr="004A429A">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szt.</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p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p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835" w:type="dxa"/>
            <w:tcBorders>
              <w:top w:val="single" w:sz="4" w:space="0" w:color="000000"/>
              <w:left w:val="single" w:sz="4" w:space="0" w:color="000000"/>
              <w:bottom w:val="single" w:sz="4" w:space="0" w:color="000000"/>
            </w:tcBorders>
            <w:shd w:val="clear" w:color="auto" w:fill="auto"/>
          </w:tcPr>
          <w:p w:rsidR="00294BD0" w:rsidRPr="006B19BD" w:rsidRDefault="000A7DA1" w:rsidP="00814B49">
            <w:pPr>
              <w:spacing w:after="0" w:line="276" w:lineRule="auto"/>
              <w:jc w:val="center"/>
              <w:rPr>
                <w:rFonts w:ascii="Times New Roman" w:hAnsi="Times New Roman" w:cs="Times New Roman"/>
                <w:strike/>
                <w:sz w:val="16"/>
                <w:szCs w:val="16"/>
                <w:lang w:val="en-US" w:eastAsia="en-US" w:bidi="en-US"/>
              </w:rPr>
            </w:pPr>
            <w:r w:rsidRPr="006B19BD">
              <w:rPr>
                <w:rFonts w:ascii="Times New Roman" w:hAnsi="Times New Roman" w:cs="Times New Roman"/>
                <w:strike/>
                <w:sz w:val="16"/>
                <w:szCs w:val="16"/>
                <w:lang w:val="en-US" w:eastAsia="en-US" w:bidi="en-US"/>
              </w:rPr>
              <w:t>6</w:t>
            </w:r>
            <w:r w:rsidR="001A4942" w:rsidRPr="006B19BD">
              <w:rPr>
                <w:rFonts w:ascii="Times New Roman" w:hAnsi="Times New Roman" w:cs="Times New Roman"/>
                <w:strike/>
                <w:sz w:val="16"/>
                <w:szCs w:val="16"/>
                <w:lang w:val="en-US" w:eastAsia="en-US" w:bidi="en-US"/>
              </w:rPr>
              <w:t>50</w:t>
            </w:r>
            <w:r w:rsidRPr="006B19BD">
              <w:rPr>
                <w:rFonts w:ascii="Times New Roman" w:hAnsi="Times New Roman" w:cs="Times New Roman"/>
                <w:strike/>
                <w:sz w:val="16"/>
                <w:szCs w:val="16"/>
                <w:lang w:val="en-US" w:eastAsia="en-US" w:bidi="en-US"/>
              </w:rPr>
              <w:t xml:space="preserve"> 000,00</w:t>
            </w:r>
          </w:p>
          <w:p w:rsidR="00294BD0" w:rsidRPr="0088704F" w:rsidRDefault="0088704F" w:rsidP="00814B49">
            <w:pPr>
              <w:spacing w:after="0" w:line="276" w:lineRule="auto"/>
              <w:jc w:val="center"/>
              <w:rPr>
                <w:rFonts w:ascii="Times New Roman" w:hAnsi="Times New Roman" w:cs="Times New Roman"/>
                <w:color w:val="FF0000"/>
                <w:sz w:val="16"/>
                <w:szCs w:val="16"/>
                <w:lang w:val="en-US" w:eastAsia="en-US" w:bidi="en-US"/>
              </w:rPr>
            </w:pPr>
            <w:r w:rsidRPr="0088704F">
              <w:rPr>
                <w:rFonts w:ascii="Times New Roman" w:hAnsi="Times New Roman" w:cs="Times New Roman"/>
                <w:color w:val="FF0000"/>
                <w:sz w:val="16"/>
                <w:szCs w:val="16"/>
                <w:lang w:val="en-US" w:eastAsia="en-US" w:bidi="en-US"/>
              </w:rPr>
              <w:t>699692,03</w:t>
            </w:r>
          </w:p>
        </w:tc>
        <w:tc>
          <w:tcPr>
            <w:tcW w:w="582" w:type="dxa"/>
            <w:gridSpan w:val="3"/>
            <w:tcBorders>
              <w:top w:val="single" w:sz="4" w:space="0" w:color="000000"/>
              <w:left w:val="single" w:sz="4" w:space="0" w:color="000000"/>
              <w:bottom w:val="single" w:sz="4" w:space="0" w:color="000000"/>
            </w:tcBorders>
            <w:shd w:val="clear" w:color="auto" w:fill="auto"/>
          </w:tcPr>
          <w:p w:rsidR="00294BD0" w:rsidRPr="004A429A" w:rsidRDefault="00D43161"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46 </w:t>
            </w:r>
            <w:r w:rsidR="00294BD0" w:rsidRPr="004A429A">
              <w:rPr>
                <w:rFonts w:ascii="Times New Roman" w:hAnsi="Times New Roman" w:cs="Times New Roman"/>
                <w:sz w:val="16"/>
                <w:szCs w:val="16"/>
                <w:lang w:val="en-US" w:eastAsia="en-US" w:bidi="en-US"/>
              </w:rPr>
              <w:t>szt.</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rsidR="00294BD0" w:rsidRDefault="00666BD6" w:rsidP="00814B49">
            <w:pPr>
              <w:spacing w:after="0" w:line="276" w:lineRule="auto"/>
              <w:jc w:val="center"/>
              <w:rPr>
                <w:rFonts w:ascii="Arial Narrow" w:hAnsi="Arial Narrow" w:cs="Arial Narrow"/>
                <w:strike/>
                <w:sz w:val="16"/>
                <w:szCs w:val="16"/>
              </w:rPr>
            </w:pPr>
            <w:r w:rsidRPr="0088704F">
              <w:rPr>
                <w:rFonts w:ascii="Arial Narrow" w:hAnsi="Arial Narrow" w:cs="Arial Narrow"/>
                <w:strike/>
                <w:sz w:val="16"/>
                <w:szCs w:val="16"/>
              </w:rPr>
              <w:t>1 </w:t>
            </w:r>
            <w:r w:rsidR="00E45B3C" w:rsidRPr="0088704F">
              <w:rPr>
                <w:rFonts w:ascii="Arial Narrow" w:hAnsi="Arial Narrow" w:cs="Arial Narrow"/>
                <w:strike/>
                <w:sz w:val="16"/>
                <w:szCs w:val="16"/>
              </w:rPr>
              <w:t>100</w:t>
            </w:r>
            <w:r w:rsidRPr="0088704F">
              <w:rPr>
                <w:rFonts w:ascii="Arial Narrow" w:hAnsi="Arial Narrow" w:cs="Arial Narrow"/>
                <w:strike/>
                <w:sz w:val="16"/>
                <w:szCs w:val="16"/>
              </w:rPr>
              <w:t xml:space="preserve"> 403,83</w:t>
            </w:r>
          </w:p>
          <w:p w:rsidR="0088704F" w:rsidRPr="0088704F" w:rsidRDefault="0088704F" w:rsidP="00814B49">
            <w:pPr>
              <w:spacing w:after="0" w:line="276" w:lineRule="auto"/>
              <w:jc w:val="center"/>
              <w:rPr>
                <w:rFonts w:ascii="Times New Roman" w:hAnsi="Times New Roman" w:cs="Times New Roman"/>
                <w:color w:val="FF0000"/>
                <w:sz w:val="16"/>
                <w:szCs w:val="16"/>
                <w:lang w:val="en-US" w:eastAsia="en-US" w:bidi="en-US"/>
              </w:rPr>
            </w:pPr>
            <w:r w:rsidRPr="0088704F">
              <w:rPr>
                <w:rFonts w:ascii="Times New Roman" w:hAnsi="Times New Roman" w:cs="Times New Roman"/>
                <w:color w:val="FF0000"/>
                <w:sz w:val="16"/>
                <w:szCs w:val="16"/>
                <w:lang w:val="en-US" w:eastAsia="en-US" w:bidi="en-US"/>
              </w:rPr>
              <w:t>1167994,84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podejmowanie działalności gospodarczej  - (Dodatkowe środki – 830 000 zł)</w:t>
            </w: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30 000 w latach 2019-2021</w:t>
            </w: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800 000 w latach 2022-2023</w:t>
            </w:r>
          </w:p>
          <w:p w:rsidR="00CF601F"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 500</w:t>
            </w:r>
            <w:r w:rsidR="00CF601F">
              <w:rPr>
                <w:rFonts w:ascii="Times New Roman" w:hAnsi="Times New Roman" w:cs="Times New Roman"/>
                <w:sz w:val="16"/>
                <w:szCs w:val="16"/>
                <w:lang w:val="en-US" w:eastAsia="en-US" w:bidi="en-US"/>
              </w:rPr>
              <w:t> </w:t>
            </w:r>
            <w:r w:rsidRPr="004A429A">
              <w:rPr>
                <w:rFonts w:ascii="Times New Roman" w:hAnsi="Times New Roman" w:cs="Times New Roman"/>
                <w:sz w:val="16"/>
                <w:szCs w:val="16"/>
                <w:lang w:val="en-US" w:eastAsia="en-US" w:bidi="en-US"/>
              </w:rPr>
              <w:t>000</w:t>
            </w:r>
            <w:r w:rsidR="00E45B3C" w:rsidRPr="004A429A">
              <w:rPr>
                <w:rFonts w:ascii="Times New Roman" w:hAnsi="Times New Roman" w:cs="Times New Roman"/>
                <w:sz w:val="16"/>
                <w:szCs w:val="16"/>
                <w:lang w:val="en-US" w:eastAsia="en-US" w:bidi="en-US"/>
              </w:rPr>
              <w:t> </w:t>
            </w:r>
          </w:p>
          <w:p w:rsidR="00294BD0" w:rsidRPr="004A429A" w:rsidRDefault="00E45B3C">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296.000,00 </w:t>
            </w:r>
            <w:r w:rsidR="00294BD0" w:rsidRPr="004A429A">
              <w:rPr>
                <w:rFonts w:ascii="Times New Roman" w:hAnsi="Times New Roman" w:cs="Times New Roman"/>
                <w:sz w:val="16"/>
                <w:szCs w:val="16"/>
                <w:lang w:val="en-US" w:eastAsia="en-US" w:bidi="en-US"/>
              </w:rPr>
              <w:t xml:space="preserve">zł) -w latach 2022 </w:t>
            </w:r>
            <w:r w:rsidR="00B5318C" w:rsidRPr="004A429A">
              <w:rPr>
                <w:rFonts w:ascii="Times New Roman" w:hAnsi="Times New Roman" w:cs="Times New Roman"/>
                <w:sz w:val="16"/>
                <w:szCs w:val="16"/>
                <w:lang w:val="en-US" w:eastAsia="en-US" w:bidi="en-US"/>
              </w:rPr>
              <w:t>–</w:t>
            </w:r>
            <w:r w:rsidR="00294BD0" w:rsidRPr="004A429A">
              <w:rPr>
                <w:rFonts w:ascii="Times New Roman" w:hAnsi="Times New Roman" w:cs="Times New Roman"/>
                <w:sz w:val="16"/>
                <w:szCs w:val="16"/>
                <w:lang w:val="en-US" w:eastAsia="en-US" w:bidi="en-US"/>
              </w:rPr>
              <w:t xml:space="preserve"> 2023</w:t>
            </w:r>
          </w:p>
          <w:p w:rsidR="00B5318C" w:rsidRDefault="00B5318C">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75000,00</w:t>
            </w:r>
          </w:p>
          <w:p w:rsidR="00CF601F" w:rsidRDefault="00CF601F">
            <w:pPr>
              <w:spacing w:after="120" w:line="276" w:lineRule="auto"/>
              <w:rPr>
                <w:rFonts w:ascii="Times New Roman" w:hAnsi="Times New Roman" w:cs="Times New Roman"/>
                <w:sz w:val="16"/>
                <w:szCs w:val="16"/>
                <w:lang w:val="en-US" w:eastAsia="en-US" w:bidi="en-US"/>
              </w:rPr>
            </w:pPr>
            <w:r w:rsidRPr="00CF601F">
              <w:rPr>
                <w:rFonts w:ascii="Times New Roman" w:hAnsi="Times New Roman" w:cs="Times New Roman"/>
                <w:sz w:val="16"/>
                <w:szCs w:val="16"/>
                <w:lang w:val="en-US" w:eastAsia="en-US" w:bidi="en-US"/>
              </w:rPr>
              <w:t>Dodatkowe</w:t>
            </w:r>
          </w:p>
          <w:p w:rsidR="00CF601F" w:rsidRDefault="00CF601F">
            <w:pPr>
              <w:spacing w:after="120" w:line="276" w:lineRule="auto"/>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574 000,00 euro</w:t>
            </w:r>
          </w:p>
          <w:p w:rsidR="00CF601F" w:rsidRPr="00CF601F" w:rsidRDefault="00CF601F">
            <w:pPr>
              <w:spacing w:after="120" w:line="276" w:lineRule="auto"/>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1000,00 eura z projektów grantowych</w:t>
            </w:r>
          </w:p>
        </w:tc>
      </w:tr>
      <w:tr w:rsidR="00294BD0" w:rsidRPr="004A429A"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1.1</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118</w:t>
            </w:r>
            <w:r w:rsidR="00901F0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314,26</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Default="00294BD0" w:rsidP="00814B49">
            <w:pPr>
              <w:spacing w:after="0" w:line="276" w:lineRule="auto"/>
              <w:jc w:val="center"/>
              <w:rPr>
                <w:rFonts w:ascii="Times New Roman" w:hAnsi="Times New Roman" w:cs="Times New Roman"/>
                <w:strike/>
                <w:sz w:val="16"/>
                <w:szCs w:val="16"/>
                <w:lang w:val="en-US" w:eastAsia="en-US" w:bidi="en-US"/>
              </w:rPr>
            </w:pPr>
            <w:r w:rsidRPr="006B19BD">
              <w:rPr>
                <w:rFonts w:ascii="Times New Roman" w:hAnsi="Times New Roman" w:cs="Times New Roman"/>
                <w:strike/>
                <w:sz w:val="16"/>
                <w:szCs w:val="16"/>
                <w:lang w:val="en-US" w:eastAsia="en-US" w:bidi="en-US"/>
              </w:rPr>
              <w:t>332 589,57</w:t>
            </w:r>
          </w:p>
          <w:p w:rsidR="006B19BD" w:rsidRPr="006B19BD" w:rsidRDefault="00B546A8" w:rsidP="00814B49">
            <w:pPr>
              <w:spacing w:after="0" w:line="276" w:lineRule="auto"/>
              <w:jc w:val="center"/>
              <w:rPr>
                <w:rFonts w:ascii="Times New Roman" w:hAnsi="Times New Roman" w:cs="Times New Roman"/>
                <w:color w:val="FF0000"/>
                <w:sz w:val="16"/>
                <w:szCs w:val="16"/>
                <w:lang w:val="en-US" w:eastAsia="en-US" w:bidi="en-US"/>
              </w:rPr>
            </w:pPr>
            <w:r w:rsidRPr="006B19BD">
              <w:rPr>
                <w:rFonts w:ascii="Times New Roman" w:hAnsi="Times New Roman" w:cs="Times New Roman"/>
                <w:color w:val="FF0000"/>
                <w:sz w:val="16"/>
                <w:szCs w:val="16"/>
                <w:lang w:val="en-US" w:eastAsia="en-US" w:bidi="en-US"/>
              </w:rPr>
              <w:t>3</w:t>
            </w:r>
            <w:r>
              <w:rPr>
                <w:rFonts w:ascii="Times New Roman" w:hAnsi="Times New Roman" w:cs="Times New Roman"/>
                <w:color w:val="FF0000"/>
                <w:sz w:val="16"/>
                <w:szCs w:val="16"/>
                <w:lang w:val="en-US" w:eastAsia="en-US" w:bidi="en-US"/>
              </w:rPr>
              <w:t>50488</w:t>
            </w:r>
            <w:r w:rsidRPr="006B19BD">
              <w:rPr>
                <w:rFonts w:ascii="Times New Roman" w:hAnsi="Times New Roman" w:cs="Times New Roman"/>
                <w:color w:val="FF0000"/>
                <w:sz w:val="16"/>
                <w:szCs w:val="16"/>
                <w:lang w:val="en-US" w:eastAsia="en-US" w:bidi="en-US"/>
              </w:rPr>
              <w:t>,5</w:t>
            </w:r>
            <w:r>
              <w:rPr>
                <w:rFonts w:ascii="Times New Roman" w:hAnsi="Times New Roman" w:cs="Times New Roman"/>
                <w:color w:val="FF0000"/>
                <w:sz w:val="16"/>
                <w:szCs w:val="16"/>
                <w:lang w:val="en-US" w:eastAsia="en-US" w:bidi="en-US"/>
              </w:rPr>
              <w:t>5</w:t>
            </w:r>
          </w:p>
        </w:tc>
        <w:tc>
          <w:tcPr>
            <w:tcW w:w="214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294BD0" w:rsidRPr="006B19BD" w:rsidRDefault="00D12E49" w:rsidP="00814B49">
            <w:pPr>
              <w:spacing w:after="0" w:line="276" w:lineRule="auto"/>
              <w:jc w:val="center"/>
              <w:rPr>
                <w:rFonts w:ascii="Times New Roman" w:hAnsi="Times New Roman" w:cs="Times New Roman"/>
                <w:strike/>
                <w:sz w:val="16"/>
                <w:szCs w:val="16"/>
                <w:lang w:val="en-US" w:eastAsia="en-US" w:bidi="en-US"/>
              </w:rPr>
            </w:pPr>
            <w:r w:rsidRPr="006B19BD">
              <w:rPr>
                <w:rFonts w:ascii="Times New Roman" w:hAnsi="Times New Roman" w:cs="Times New Roman"/>
                <w:strike/>
                <w:sz w:val="16"/>
                <w:szCs w:val="16"/>
                <w:lang w:val="en-US" w:eastAsia="en-US" w:bidi="en-US"/>
              </w:rPr>
              <w:t>6</w:t>
            </w:r>
            <w:r w:rsidR="00B62D07" w:rsidRPr="006B19BD">
              <w:rPr>
                <w:rFonts w:ascii="Times New Roman" w:hAnsi="Times New Roman" w:cs="Times New Roman"/>
                <w:strike/>
                <w:sz w:val="16"/>
                <w:szCs w:val="16"/>
                <w:lang w:val="en-US" w:eastAsia="en-US" w:bidi="en-US"/>
              </w:rPr>
              <w:t>50</w:t>
            </w:r>
            <w:r w:rsidRPr="006B19BD">
              <w:rPr>
                <w:rFonts w:ascii="Times New Roman" w:hAnsi="Times New Roman" w:cs="Times New Roman"/>
                <w:strike/>
                <w:sz w:val="16"/>
                <w:szCs w:val="16"/>
                <w:lang w:val="en-US" w:eastAsia="en-US" w:bidi="en-US"/>
              </w:rPr>
              <w:t> 000,00</w:t>
            </w:r>
          </w:p>
        </w:tc>
        <w:tc>
          <w:tcPr>
            <w:tcW w:w="58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rsidR="00294BD0" w:rsidRPr="004A429A" w:rsidRDefault="00D12E49"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w:t>
            </w:r>
            <w:r w:rsidR="005B7FFE">
              <w:rPr>
                <w:rFonts w:ascii="Times New Roman" w:hAnsi="Times New Roman" w:cs="Times New Roman"/>
                <w:sz w:val="16"/>
                <w:szCs w:val="16"/>
                <w:lang w:val="en-US" w:eastAsia="en-US" w:bidi="en-US"/>
              </w:rPr>
              <w:t xml:space="preserve"> </w:t>
            </w:r>
            <w:r w:rsidR="00622B92" w:rsidRPr="004A429A">
              <w:rPr>
                <w:rFonts w:ascii="Times New Roman" w:hAnsi="Times New Roman" w:cs="Times New Roman"/>
                <w:sz w:val="16"/>
                <w:szCs w:val="16"/>
                <w:lang w:val="en-US" w:eastAsia="en-US" w:bidi="en-US"/>
              </w:rPr>
              <w:t>100</w:t>
            </w:r>
            <w:r w:rsidR="005B7FFE">
              <w:rPr>
                <w:rFonts w:ascii="Times New Roman" w:hAnsi="Times New Roman" w:cs="Times New Roman"/>
                <w:sz w:val="16"/>
                <w:szCs w:val="16"/>
                <w:lang w:val="en-US" w:eastAsia="en-US" w:bidi="en-US"/>
              </w:rPr>
              <w:t xml:space="preserve"> </w:t>
            </w:r>
            <w:r w:rsidR="00622B92" w:rsidRPr="004A429A">
              <w:rPr>
                <w:rFonts w:ascii="Times New Roman" w:hAnsi="Times New Roman" w:cs="Times New Roman"/>
                <w:sz w:val="16"/>
                <w:szCs w:val="16"/>
                <w:lang w:val="en-US" w:eastAsia="en-US" w:bidi="en-US"/>
              </w:rPr>
              <w:t>9</w:t>
            </w:r>
            <w:r w:rsidRPr="004A429A">
              <w:rPr>
                <w:rFonts w:ascii="Times New Roman" w:hAnsi="Times New Roman" w:cs="Times New Roman"/>
                <w:sz w:val="16"/>
                <w:szCs w:val="16"/>
                <w:lang w:val="en-US" w:eastAsia="en-US" w:bidi="en-US"/>
              </w:rPr>
              <w:t>03,83</w:t>
            </w:r>
          </w:p>
        </w:tc>
        <w:tc>
          <w:tcPr>
            <w:tcW w:w="1134" w:type="dxa"/>
            <w:gridSpan w:val="2"/>
            <w:tcBorders>
              <w:top w:val="single" w:sz="4" w:space="0" w:color="000000"/>
              <w:left w:val="single" w:sz="4" w:space="0" w:color="000000"/>
              <w:bottom w:val="single" w:sz="4" w:space="0" w:color="000000"/>
            </w:tcBorders>
            <w:shd w:val="clear" w:color="auto" w:fill="auto"/>
          </w:tcPr>
          <w:p w:rsidR="00294BD0" w:rsidRPr="004A429A" w:rsidRDefault="00294BD0">
            <w:pPr>
              <w:snapToGrid w:val="0"/>
              <w:spacing w:after="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FBFBF"/>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1.2 Rozwój istniejących przedsiębiorstw i inicjonowanie współpracy pomiędzy podmiotami gospodarczymi funkcjonującymi na obszarze LGD</w:t>
            </w:r>
          </w:p>
        </w:tc>
        <w:tc>
          <w:tcPr>
            <w:tcW w:w="1134" w:type="dxa"/>
            <w:gridSpan w:val="2"/>
            <w:tcBorders>
              <w:top w:val="single" w:sz="4" w:space="0" w:color="000000"/>
              <w:left w:val="single" w:sz="4" w:space="0" w:color="000000"/>
              <w:bottom w:val="single" w:sz="4" w:space="0" w:color="000000"/>
            </w:tcBorders>
            <w:shd w:val="clear" w:color="auto" w:fill="B6DDE8"/>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5B7FFE" w:rsidRPr="004A429A" w:rsidTr="005B7FFE">
        <w:trPr>
          <w:gridAfter w:val="1"/>
          <w:wAfter w:w="15" w:type="dxa"/>
          <w:trHeight w:val="2179"/>
        </w:trPr>
        <w:tc>
          <w:tcPr>
            <w:tcW w:w="1384" w:type="dxa"/>
            <w:tcBorders>
              <w:top w:val="single" w:sz="4" w:space="0" w:color="000000"/>
              <w:left w:val="single" w:sz="4" w:space="0" w:color="000000"/>
              <w:bottom w:val="single" w:sz="4" w:space="0" w:color="000000"/>
            </w:tcBorders>
            <w:shd w:val="clear" w:color="auto" w:fill="DAEEF3"/>
            <w:textDirection w:val="btLr"/>
          </w:tcPr>
          <w:p w:rsidR="005B7FFE" w:rsidRPr="004A429A" w:rsidRDefault="005B7FFE">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1.2.1 </w:t>
            </w:r>
            <w:r w:rsidRPr="004A429A">
              <w:rPr>
                <w:rFonts w:ascii="Times New Roman" w:hAnsi="Times New Roman" w:cs="Times New Roman"/>
                <w:sz w:val="16"/>
                <w:szCs w:val="16"/>
                <w:lang w:eastAsia="en-US" w:bidi="en-US"/>
              </w:rPr>
              <w:t>Rozwój istniejących przedsiębiorstw</w:t>
            </w:r>
          </w:p>
        </w:tc>
        <w:tc>
          <w:tcPr>
            <w:tcW w:w="1134" w:type="dxa"/>
            <w:tcBorders>
              <w:top w:val="single" w:sz="4" w:space="0" w:color="000000"/>
              <w:left w:val="single" w:sz="4" w:space="0" w:color="000000"/>
              <w:bottom w:val="single" w:sz="4" w:space="0" w:color="000000"/>
            </w:tcBorders>
            <w:shd w:val="clear" w:color="auto" w:fill="auto"/>
          </w:tcPr>
          <w:p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zrealizowanych operacji polegających na rozwoju istniejącego przedsiębiorstwa</w:t>
            </w:r>
          </w:p>
          <w:p w:rsidR="005B7FFE" w:rsidRPr="004A429A" w:rsidRDefault="005B7FFE">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D82B73">
              <w:rPr>
                <w:rFonts w:ascii="Times New Roman" w:hAnsi="Times New Roman" w:cs="Times New Roman"/>
                <w:strike/>
                <w:sz w:val="16"/>
                <w:szCs w:val="16"/>
                <w:lang w:val="en-US" w:eastAsia="en-US" w:bidi="en-US"/>
              </w:rPr>
              <w:t>6</w:t>
            </w:r>
            <w:r w:rsidR="00D82B73">
              <w:rPr>
                <w:rFonts w:ascii="Times New Roman" w:hAnsi="Times New Roman" w:cs="Times New Roman"/>
                <w:sz w:val="16"/>
                <w:szCs w:val="16"/>
                <w:lang w:val="en-US" w:eastAsia="en-US" w:bidi="en-US"/>
              </w:rPr>
              <w:t xml:space="preserve"> 1</w:t>
            </w:r>
            <w:r w:rsidRPr="004A429A">
              <w:rPr>
                <w:rFonts w:ascii="Times New Roman" w:hAnsi="Times New Roman" w:cs="Times New Roman"/>
                <w:sz w:val="16"/>
                <w:szCs w:val="16"/>
                <w:lang w:val="en-US" w:eastAsia="en-US" w:bidi="en-US"/>
              </w:rPr>
              <w:t xml:space="preserve"> szt</w:t>
            </w:r>
            <w:r w:rsidR="00EB57AF">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5B7FFE" w:rsidRPr="004A429A" w:rsidRDefault="00EB57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12</w:t>
            </w:r>
            <w:r w:rsidR="005B7FFE" w:rsidRPr="004A429A">
              <w:rPr>
                <w:rFonts w:ascii="Times New Roman" w:hAnsi="Times New Roman" w:cs="Times New Roman"/>
                <w:sz w:val="16"/>
                <w:szCs w:val="16"/>
                <w:lang w:val="en-US" w:eastAsia="en-US" w:bidi="en-US"/>
              </w:rPr>
              <w:t>,</w:t>
            </w:r>
            <w:r>
              <w:rPr>
                <w:rFonts w:ascii="Times New Roman" w:hAnsi="Times New Roman" w:cs="Times New Roman"/>
                <w:sz w:val="16"/>
                <w:szCs w:val="16"/>
                <w:lang w:val="en-US" w:eastAsia="en-US" w:bidi="en-US"/>
              </w:rPr>
              <w:t>50</w:t>
            </w:r>
            <w:r w:rsidR="005B7FFE"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rsidR="005B7FFE" w:rsidRDefault="005B7FFE" w:rsidP="00814B49">
            <w:pPr>
              <w:spacing w:after="120" w:line="276" w:lineRule="auto"/>
              <w:jc w:val="center"/>
              <w:rPr>
                <w:rFonts w:ascii="Times New Roman" w:hAnsi="Times New Roman" w:cs="Times New Roman"/>
                <w:strike/>
                <w:sz w:val="16"/>
                <w:szCs w:val="16"/>
                <w:lang w:val="en-US" w:eastAsia="en-US" w:bidi="en-US"/>
              </w:rPr>
            </w:pPr>
            <w:r w:rsidRPr="008B6F4A">
              <w:rPr>
                <w:rFonts w:ascii="Times New Roman" w:hAnsi="Times New Roman" w:cs="Times New Roman"/>
                <w:strike/>
                <w:sz w:val="16"/>
                <w:szCs w:val="16"/>
                <w:lang w:val="en-US" w:eastAsia="en-US" w:bidi="en-US"/>
              </w:rPr>
              <w:t>342911,12</w:t>
            </w:r>
          </w:p>
          <w:p w:rsidR="008B6F4A" w:rsidRPr="008B6F4A" w:rsidRDefault="008B6F4A" w:rsidP="00814B49">
            <w:pPr>
              <w:spacing w:after="120" w:line="276" w:lineRule="auto"/>
              <w:jc w:val="center"/>
              <w:rPr>
                <w:rFonts w:ascii="Times New Roman" w:hAnsi="Times New Roman" w:cs="Times New Roman"/>
                <w:color w:val="FF0000"/>
                <w:sz w:val="16"/>
                <w:szCs w:val="16"/>
                <w:lang w:val="en-US" w:eastAsia="en-US" w:bidi="en-US"/>
              </w:rPr>
            </w:pPr>
            <w:r>
              <w:rPr>
                <w:rFonts w:ascii="Times New Roman" w:hAnsi="Times New Roman" w:cs="Times New Roman"/>
                <w:color w:val="FF0000"/>
                <w:sz w:val="16"/>
                <w:szCs w:val="16"/>
                <w:lang w:val="en-US" w:eastAsia="en-US" w:bidi="en-US"/>
              </w:rPr>
              <w:t>36</w:t>
            </w:r>
            <w:r w:rsidR="00D82B73">
              <w:rPr>
                <w:rFonts w:ascii="Times New Roman" w:hAnsi="Times New Roman" w:cs="Times New Roman"/>
                <w:color w:val="FF0000"/>
                <w:sz w:val="16"/>
                <w:szCs w:val="16"/>
                <w:lang w:val="en-US" w:eastAsia="en-US" w:bidi="en-US"/>
              </w:rPr>
              <w:t>653,07</w:t>
            </w:r>
          </w:p>
        </w:tc>
        <w:tc>
          <w:tcPr>
            <w:tcW w:w="850" w:type="dxa"/>
            <w:tcBorders>
              <w:top w:val="single" w:sz="4" w:space="0" w:color="000000"/>
              <w:left w:val="single" w:sz="4" w:space="0" w:color="000000"/>
              <w:bottom w:val="single" w:sz="4" w:space="0" w:color="000000"/>
            </w:tcBorders>
            <w:shd w:val="clear" w:color="auto" w:fill="auto"/>
          </w:tcPr>
          <w:p w:rsidR="005B7FFE" w:rsidRPr="004A429A" w:rsidRDefault="00D82B73" w:rsidP="00F26F8E">
            <w:pPr>
              <w:spacing w:after="120" w:line="276" w:lineRule="auto"/>
              <w:ind w:left="360"/>
              <w:jc w:val="center"/>
              <w:rPr>
                <w:rFonts w:ascii="Times New Roman" w:hAnsi="Times New Roman" w:cs="Times New Roman"/>
                <w:b/>
                <w:sz w:val="16"/>
                <w:szCs w:val="16"/>
                <w:lang w:val="en-US" w:eastAsia="en-US" w:bidi="en-US"/>
              </w:rPr>
            </w:pPr>
            <w:r>
              <w:rPr>
                <w:rFonts w:ascii="Times New Roman" w:hAnsi="Times New Roman" w:cs="Times New Roman"/>
                <w:sz w:val="16"/>
                <w:szCs w:val="16"/>
                <w:lang w:val="en-US" w:eastAsia="en-US" w:bidi="en-US"/>
              </w:rPr>
              <w:t>7</w:t>
            </w:r>
            <w:r w:rsidR="005B7FFE" w:rsidRPr="004A429A">
              <w:rPr>
                <w:rFonts w:ascii="Times New Roman" w:hAnsi="Times New Roman" w:cs="Times New Roman"/>
                <w:sz w:val="16"/>
                <w:szCs w:val="16"/>
                <w:lang w:val="en-US" w:eastAsia="en-US" w:bidi="en-US"/>
              </w:rPr>
              <w:t>szt</w:t>
            </w:r>
            <w:r w:rsidR="00EB57AF">
              <w:rPr>
                <w:rFonts w:ascii="Times New Roman" w:hAnsi="Times New Roman" w:cs="Times New Roman"/>
                <w:sz w:val="16"/>
                <w:szCs w:val="16"/>
                <w:lang w:val="en-US" w:eastAsia="en-US" w:bidi="en-US"/>
              </w:rPr>
              <w:t>.</w:t>
            </w:r>
          </w:p>
          <w:p w:rsidR="005B7FFE" w:rsidRPr="004A429A" w:rsidRDefault="005B7FFE" w:rsidP="00814B49">
            <w:pPr>
              <w:spacing w:after="120" w:line="276" w:lineRule="auto"/>
              <w:jc w:val="center"/>
              <w:rPr>
                <w:rFonts w:ascii="Times New Roman" w:hAnsi="Times New Roman" w:cs="Times New Roman"/>
                <w:b/>
                <w:sz w:val="16"/>
                <w:szCs w:val="16"/>
                <w:lang w:val="en-US" w:eastAsia="en-US" w:bidi="en-US"/>
              </w:rPr>
            </w:pPr>
          </w:p>
        </w:tc>
        <w:tc>
          <w:tcPr>
            <w:tcW w:w="992" w:type="dxa"/>
            <w:tcBorders>
              <w:top w:val="single" w:sz="4" w:space="0" w:color="000000"/>
              <w:left w:val="single" w:sz="4" w:space="0" w:color="000000"/>
              <w:bottom w:val="single" w:sz="4" w:space="0" w:color="000000"/>
            </w:tcBorders>
            <w:shd w:val="clear" w:color="auto" w:fill="auto"/>
          </w:tcPr>
          <w:p w:rsidR="005B7FFE" w:rsidRPr="004A429A" w:rsidRDefault="00F26F8E"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87,50</w:t>
            </w:r>
            <w:r w:rsidR="005B7FFE" w:rsidRPr="004A429A">
              <w:rPr>
                <w:rFonts w:ascii="Times New Roman" w:hAnsi="Times New Roman" w:cs="Times New Roman"/>
                <w:sz w:val="16"/>
                <w:szCs w:val="16"/>
                <w:lang w:val="en-US" w:eastAsia="en-US" w:bidi="en-US"/>
              </w:rPr>
              <w:t>%</w:t>
            </w:r>
          </w:p>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5B7FFE" w:rsidRDefault="005B7FFE" w:rsidP="00814B49">
            <w:pPr>
              <w:spacing w:after="120" w:line="276" w:lineRule="auto"/>
              <w:jc w:val="center"/>
              <w:rPr>
                <w:rFonts w:ascii="Times New Roman" w:hAnsi="Times New Roman" w:cs="Times New Roman"/>
                <w:strike/>
                <w:sz w:val="16"/>
                <w:szCs w:val="16"/>
                <w:lang w:val="en-US" w:eastAsia="en-US" w:bidi="en-US"/>
              </w:rPr>
            </w:pPr>
            <w:r w:rsidRPr="008B6F4A">
              <w:rPr>
                <w:rFonts w:ascii="Times New Roman" w:hAnsi="Times New Roman" w:cs="Times New Roman"/>
                <w:strike/>
                <w:sz w:val="16"/>
                <w:szCs w:val="16"/>
                <w:lang w:val="en-US" w:eastAsia="en-US" w:bidi="en-US"/>
              </w:rPr>
              <w:t>85 710,06</w:t>
            </w:r>
          </w:p>
          <w:p w:rsidR="008B6F4A" w:rsidRPr="008B6F4A" w:rsidRDefault="00D82B73" w:rsidP="00814B49">
            <w:pPr>
              <w:spacing w:after="120" w:line="276" w:lineRule="auto"/>
              <w:jc w:val="center"/>
              <w:rPr>
                <w:rFonts w:ascii="Times New Roman" w:hAnsi="Times New Roman" w:cs="Times New Roman"/>
                <w:color w:val="FF0000"/>
                <w:sz w:val="16"/>
                <w:szCs w:val="16"/>
                <w:lang w:val="en-US" w:eastAsia="en-US" w:bidi="en-US"/>
              </w:rPr>
            </w:pPr>
            <w:r>
              <w:rPr>
                <w:rFonts w:ascii="Times New Roman" w:hAnsi="Times New Roman" w:cs="Times New Roman"/>
                <w:color w:val="FF0000"/>
                <w:sz w:val="16"/>
                <w:szCs w:val="16"/>
                <w:lang w:val="en-US" w:eastAsia="en-US" w:bidi="en-US"/>
              </w:rPr>
              <w:t>391775</w:t>
            </w:r>
            <w:r w:rsidR="003A63A7">
              <w:rPr>
                <w:rFonts w:ascii="Times New Roman" w:hAnsi="Times New Roman" w:cs="Times New Roman"/>
                <w:color w:val="FF0000"/>
                <w:sz w:val="16"/>
                <w:szCs w:val="16"/>
                <w:lang w:val="en-US" w:eastAsia="en-US" w:bidi="en-US"/>
              </w:rPr>
              <w:t>,73</w:t>
            </w:r>
          </w:p>
        </w:tc>
        <w:tc>
          <w:tcPr>
            <w:tcW w:w="709"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5B7FFE" w:rsidRPr="004A429A" w:rsidRDefault="00F26F8E"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w:t>
            </w:r>
          </w:p>
        </w:tc>
        <w:tc>
          <w:tcPr>
            <w:tcW w:w="850"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napToGrid w:val="0"/>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Arial Narrow" w:hAnsi="Arial Narrow" w:cs="Arial Narrow"/>
                <w:sz w:val="16"/>
                <w:szCs w:val="16"/>
              </w:rPr>
            </w:pPr>
            <w:r w:rsidRPr="004A429A">
              <w:rPr>
                <w:rFonts w:ascii="Times New Roman" w:hAnsi="Times New Roman" w:cs="Times New Roman"/>
                <w:sz w:val="16"/>
                <w:szCs w:val="16"/>
                <w:lang w:val="en-US" w:eastAsia="en-US" w:bidi="en-US"/>
              </w:rPr>
              <w:t>8 szt</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5B7FFE" w:rsidRDefault="005B7FFE" w:rsidP="00814B49">
            <w:pPr>
              <w:spacing w:after="120" w:line="276" w:lineRule="auto"/>
              <w:jc w:val="center"/>
              <w:rPr>
                <w:rFonts w:ascii="Arial Narrow" w:hAnsi="Arial Narrow" w:cs="Arial Narrow"/>
                <w:strike/>
                <w:sz w:val="16"/>
                <w:szCs w:val="16"/>
              </w:rPr>
            </w:pPr>
            <w:bookmarkStart w:id="3" w:name="_Hlk67772645"/>
            <w:r w:rsidRPr="008B6F4A">
              <w:rPr>
                <w:rFonts w:ascii="Arial Narrow" w:hAnsi="Arial Narrow" w:cs="Arial Narrow"/>
                <w:strike/>
                <w:sz w:val="16"/>
                <w:szCs w:val="16"/>
              </w:rPr>
              <w:t>428 621,18</w:t>
            </w:r>
            <w:bookmarkEnd w:id="3"/>
          </w:p>
          <w:p w:rsidR="008B6F4A" w:rsidRPr="008B6F4A" w:rsidRDefault="008B6F4A" w:rsidP="00814B49">
            <w:pPr>
              <w:spacing w:after="120" w:line="276" w:lineRule="auto"/>
              <w:jc w:val="center"/>
              <w:rPr>
                <w:rFonts w:ascii="Times New Roman" w:hAnsi="Times New Roman" w:cs="Times New Roman"/>
                <w:color w:val="FF0000"/>
                <w:sz w:val="16"/>
                <w:szCs w:val="16"/>
                <w:lang w:val="en-US" w:eastAsia="en-US" w:bidi="en-US"/>
              </w:rPr>
            </w:pPr>
            <w:r w:rsidRPr="008B6F4A">
              <w:rPr>
                <w:rFonts w:ascii="Times New Roman" w:hAnsi="Times New Roman" w:cs="Times New Roman"/>
                <w:color w:val="FF0000"/>
                <w:sz w:val="16"/>
                <w:szCs w:val="16"/>
                <w:lang w:val="en-US" w:eastAsia="en-US" w:bidi="en-US"/>
              </w:rPr>
              <w:t>428428,8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B7FFE" w:rsidRPr="004A429A" w:rsidRDefault="005B7FFE">
            <w:pPr>
              <w:spacing w:after="120" w:line="276" w:lineRule="auto"/>
            </w:pPr>
            <w:r w:rsidRPr="004A429A">
              <w:rPr>
                <w:rFonts w:ascii="Times New Roman" w:hAnsi="Times New Roman" w:cs="Times New Roman"/>
                <w:sz w:val="16"/>
                <w:szCs w:val="16"/>
                <w:lang w:val="en-US" w:eastAsia="en-US" w:bidi="en-US"/>
              </w:rPr>
              <w:t>19.2 Realizacja LSR – rozwijanie działalności gospodarczej</w:t>
            </w:r>
          </w:p>
        </w:tc>
      </w:tr>
      <w:tr w:rsidR="00294BD0" w:rsidRPr="004A429A" w:rsidTr="005B7FFE">
        <w:trPr>
          <w:trHeight w:val="1738"/>
        </w:trPr>
        <w:tc>
          <w:tcPr>
            <w:tcW w:w="1384" w:type="dxa"/>
            <w:tcBorders>
              <w:top w:val="single" w:sz="4" w:space="0" w:color="000000"/>
              <w:left w:val="single" w:sz="4" w:space="0" w:color="000000"/>
              <w:bottom w:val="single" w:sz="4" w:space="0" w:color="000000"/>
            </w:tcBorders>
            <w:shd w:val="clear" w:color="auto" w:fill="DAEEF3"/>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1.2.2 </w:t>
            </w:r>
            <w:r w:rsidRPr="004A429A">
              <w:rPr>
                <w:rFonts w:ascii="Times New Roman" w:hAnsi="Times New Roman" w:cs="Times New Roman"/>
                <w:sz w:val="16"/>
                <w:szCs w:val="16"/>
                <w:lang w:eastAsia="en-US" w:bidi="en-US"/>
              </w:rPr>
              <w:t>Współpraca podmiotów gospodarczych</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zawiązanych partnerstw gospodarcych</w:t>
            </w: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rsidR="00B546A8" w:rsidRDefault="00294BD0" w:rsidP="00814B49">
            <w:pPr>
              <w:spacing w:after="120" w:line="276" w:lineRule="auto"/>
              <w:jc w:val="center"/>
              <w:rPr>
                <w:rFonts w:ascii="Arial Narrow" w:hAnsi="Arial Narrow" w:cs="Arial Narrow"/>
                <w:sz w:val="16"/>
                <w:szCs w:val="16"/>
              </w:rPr>
            </w:pPr>
            <w:r w:rsidRPr="00B546A8">
              <w:rPr>
                <w:rFonts w:ascii="Arial Narrow" w:hAnsi="Arial Narrow" w:cs="Arial Narrow"/>
                <w:strike/>
                <w:sz w:val="16"/>
                <w:szCs w:val="16"/>
              </w:rPr>
              <w:t>41 849,57</w:t>
            </w:r>
            <w:r w:rsidR="00B546A8">
              <w:rPr>
                <w:rFonts w:ascii="Arial Narrow" w:hAnsi="Arial Narrow" w:cs="Arial Narrow"/>
                <w:strike/>
                <w:sz w:val="16"/>
                <w:szCs w:val="16"/>
              </w:rPr>
              <w:t xml:space="preserve"> </w:t>
            </w:r>
            <w:r w:rsidR="00B546A8" w:rsidRPr="00B546A8">
              <w:rPr>
                <w:rFonts w:ascii="Arial Narrow" w:hAnsi="Arial Narrow" w:cs="Arial Narrow"/>
                <w:sz w:val="16"/>
                <w:szCs w:val="16"/>
              </w:rPr>
              <w:t xml:space="preserve"> </w:t>
            </w:r>
          </w:p>
          <w:p w:rsidR="00294BD0" w:rsidRPr="00532883" w:rsidRDefault="00B546A8" w:rsidP="00814B49">
            <w:pPr>
              <w:spacing w:after="120" w:line="276" w:lineRule="auto"/>
              <w:jc w:val="center"/>
              <w:rPr>
                <w:rFonts w:ascii="Times New Roman" w:hAnsi="Times New Roman" w:cs="Times New Roman"/>
                <w:strike/>
                <w:color w:val="FF0000"/>
                <w:sz w:val="16"/>
                <w:szCs w:val="16"/>
                <w:lang w:val="en-US" w:eastAsia="en-US" w:bidi="en-US"/>
              </w:rPr>
            </w:pPr>
            <w:r w:rsidRPr="00532883">
              <w:rPr>
                <w:rFonts w:ascii="Arial Narrow" w:hAnsi="Arial Narrow" w:cs="Arial Narrow"/>
                <w:color w:val="FF0000"/>
                <w:sz w:val="16"/>
                <w:szCs w:val="16"/>
              </w:rPr>
              <w:t>42473,67</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82" w:type="dxa"/>
            <w:gridSpan w:val="3"/>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 szt.</w:t>
            </w:r>
          </w:p>
        </w:tc>
        <w:tc>
          <w:tcPr>
            <w:tcW w:w="1403" w:type="dxa"/>
            <w:tcBorders>
              <w:top w:val="single" w:sz="4" w:space="0" w:color="000000"/>
              <w:left w:val="single" w:sz="4" w:space="0" w:color="000000"/>
              <w:bottom w:val="single" w:sz="4" w:space="0" w:color="000000"/>
            </w:tcBorders>
            <w:shd w:val="clear" w:color="auto" w:fill="auto"/>
          </w:tcPr>
          <w:p w:rsidR="00294BD0" w:rsidRPr="00532883" w:rsidRDefault="00294BD0" w:rsidP="00814B49">
            <w:pPr>
              <w:spacing w:after="0" w:line="276" w:lineRule="auto"/>
              <w:jc w:val="center"/>
              <w:rPr>
                <w:rFonts w:ascii="Times New Roman" w:hAnsi="Times New Roman" w:cs="Times New Roman"/>
                <w:strike/>
                <w:color w:val="FF0000"/>
                <w:sz w:val="16"/>
                <w:szCs w:val="16"/>
                <w:lang w:val="en-US" w:eastAsia="en-US" w:bidi="en-US"/>
              </w:rPr>
            </w:pPr>
            <w:r w:rsidRPr="00B546A8">
              <w:rPr>
                <w:rFonts w:ascii="Times New Roman" w:hAnsi="Times New Roman" w:cs="Times New Roman"/>
                <w:strike/>
                <w:sz w:val="16"/>
                <w:szCs w:val="16"/>
                <w:lang w:val="en-US" w:eastAsia="en-US" w:bidi="en-US"/>
              </w:rPr>
              <w:t>41 849,57</w:t>
            </w:r>
            <w:r w:rsidR="00B546A8">
              <w:rPr>
                <w:rFonts w:ascii="Times New Roman" w:hAnsi="Times New Roman" w:cs="Times New Roman"/>
                <w:strike/>
                <w:sz w:val="16"/>
                <w:szCs w:val="16"/>
                <w:lang w:val="en-US" w:eastAsia="en-US" w:bidi="en-US"/>
              </w:rPr>
              <w:t xml:space="preserve"> </w:t>
            </w:r>
            <w:r w:rsidR="00B546A8" w:rsidRPr="00532883">
              <w:rPr>
                <w:rFonts w:ascii="Times New Roman" w:hAnsi="Times New Roman" w:cs="Times New Roman"/>
                <w:color w:val="FF0000"/>
                <w:sz w:val="16"/>
                <w:szCs w:val="16"/>
                <w:lang w:val="en-US" w:eastAsia="en-US" w:bidi="en-US"/>
              </w:rPr>
              <w:t>42473,67</w:t>
            </w:r>
          </w:p>
          <w:p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 wspieranie współpracy pomiędy podmiotami wykonującymi działalność gospodarczą na obszarze wiejskim objętym LSR</w:t>
            </w:r>
          </w:p>
        </w:tc>
      </w:tr>
      <w:tr w:rsidR="00294BD0" w:rsidRPr="004A429A" w:rsidTr="005B7FFE">
        <w:trPr>
          <w:trHeight w:val="3230"/>
        </w:trPr>
        <w:tc>
          <w:tcPr>
            <w:tcW w:w="1384" w:type="dxa"/>
            <w:tcBorders>
              <w:top w:val="single" w:sz="4" w:space="0" w:color="000000"/>
              <w:left w:val="single" w:sz="4" w:space="0" w:color="000000"/>
              <w:bottom w:val="single" w:sz="4" w:space="0" w:color="000000"/>
            </w:tcBorders>
            <w:shd w:val="clear" w:color="auto" w:fill="DAEEF3"/>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1.2.3 Podniesienie poziomu wiedzy z zakresu możliwości aplikowania o środki na działania związane z rozwojem działalności gospodarczej</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godzin udzielonego doradztwa z zakresu rozwijania działalności gospodarczej</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 godzin</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400,00</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 godzin</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82" w:type="dxa"/>
            <w:gridSpan w:val="3"/>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 godzin</w:t>
            </w:r>
          </w:p>
        </w:tc>
        <w:tc>
          <w:tcPr>
            <w:tcW w:w="1403"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400,00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pPr>
            <w:r w:rsidRPr="004A429A">
              <w:rPr>
                <w:rFonts w:ascii="Times New Roman" w:hAnsi="Times New Roman" w:cs="Times New Roman"/>
                <w:sz w:val="16"/>
                <w:szCs w:val="16"/>
                <w:lang w:val="en-US" w:eastAsia="en-US" w:bidi="en-US"/>
              </w:rPr>
              <w:t xml:space="preserve">19.4 Koszty bieżące </w:t>
            </w:r>
            <w:r w:rsidR="00EB57AF">
              <w:rPr>
                <w:rFonts w:ascii="Times New Roman" w:hAnsi="Times New Roman" w:cs="Times New Roman"/>
                <w:sz w:val="16"/>
                <w:szCs w:val="16"/>
                <w:lang w:val="en-US" w:eastAsia="en-US" w:bidi="en-US"/>
              </w:rPr>
              <w:t>I</w:t>
            </w:r>
            <w:r w:rsidRPr="004A429A">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br/>
              <w:t>Aktywizacja</w:t>
            </w:r>
          </w:p>
        </w:tc>
      </w:tr>
      <w:tr w:rsidR="00294BD0" w:rsidRPr="004A429A" w:rsidTr="005B7FFE">
        <w:tc>
          <w:tcPr>
            <w:tcW w:w="25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1.2</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Default="00294BD0" w:rsidP="00814B49">
            <w:pPr>
              <w:spacing w:after="0" w:line="276" w:lineRule="auto"/>
              <w:jc w:val="center"/>
              <w:rPr>
                <w:rFonts w:ascii="Times New Roman" w:hAnsi="Times New Roman" w:cs="Times New Roman"/>
                <w:strike/>
                <w:sz w:val="16"/>
                <w:szCs w:val="16"/>
                <w:lang w:val="en-US" w:eastAsia="en-US" w:bidi="en-US"/>
              </w:rPr>
            </w:pPr>
            <w:r w:rsidRPr="00EB57AF">
              <w:rPr>
                <w:rFonts w:ascii="Times New Roman" w:hAnsi="Times New Roman" w:cs="Times New Roman"/>
                <w:strike/>
                <w:sz w:val="16"/>
                <w:szCs w:val="16"/>
                <w:lang w:val="en-US" w:eastAsia="en-US" w:bidi="en-US"/>
              </w:rPr>
              <w:t>385 160,69</w:t>
            </w:r>
          </w:p>
          <w:p w:rsidR="00EB57AF" w:rsidRPr="001F3069" w:rsidRDefault="00EB57AF" w:rsidP="00814B49">
            <w:pPr>
              <w:spacing w:after="0" w:line="276" w:lineRule="auto"/>
              <w:jc w:val="center"/>
              <w:rPr>
                <w:rFonts w:ascii="Times New Roman" w:hAnsi="Times New Roman" w:cs="Times New Roman"/>
                <w:color w:val="FF0000"/>
                <w:lang w:val="en-US" w:eastAsia="en-US" w:bidi="en-US"/>
              </w:rPr>
            </w:pPr>
            <w:r w:rsidRPr="001F3069">
              <w:rPr>
                <w:rFonts w:ascii="Times New Roman" w:hAnsi="Times New Roman" w:cs="Times New Roman"/>
                <w:color w:val="FF0000"/>
                <w:sz w:val="16"/>
                <w:szCs w:val="16"/>
                <w:lang w:val="en-US" w:eastAsia="en-US" w:bidi="en-US"/>
              </w:rPr>
              <w:t>79526,74</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EB57AF" w:rsidRDefault="00294BD0" w:rsidP="00814B49">
            <w:pPr>
              <w:spacing w:after="0" w:line="276" w:lineRule="auto"/>
              <w:jc w:val="center"/>
              <w:rPr>
                <w:rFonts w:ascii="Times New Roman" w:hAnsi="Times New Roman" w:cs="Times New Roman"/>
                <w:strike/>
                <w:lang w:val="en-US" w:eastAsia="en-US" w:bidi="en-US"/>
              </w:rPr>
            </w:pPr>
            <w:r w:rsidRPr="00EB57AF">
              <w:rPr>
                <w:rFonts w:ascii="Times New Roman" w:hAnsi="Times New Roman" w:cs="Times New Roman"/>
                <w:strike/>
                <w:sz w:val="16"/>
                <w:szCs w:val="16"/>
                <w:lang w:val="en-US" w:eastAsia="en-US" w:bidi="en-US"/>
              </w:rPr>
              <w:t>85 710,06</w:t>
            </w:r>
            <w:r w:rsidR="001F3069">
              <w:rPr>
                <w:rFonts w:ascii="Times New Roman" w:hAnsi="Times New Roman" w:cs="Times New Roman"/>
                <w:color w:val="FF0000"/>
                <w:sz w:val="16"/>
                <w:szCs w:val="16"/>
                <w:lang w:val="en-US" w:eastAsia="en-US" w:bidi="en-US"/>
              </w:rPr>
              <w:t>391775,73</w:t>
            </w:r>
          </w:p>
        </w:tc>
        <w:tc>
          <w:tcPr>
            <w:tcW w:w="214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lang w:val="en-US" w:eastAsia="en-US" w:bidi="en-US"/>
              </w:rPr>
            </w:pPr>
            <w:r w:rsidRPr="004A429A">
              <w:rPr>
                <w:rFonts w:ascii="Times New Roman" w:hAnsi="Times New Roman" w:cs="Times New Roman"/>
                <w:sz w:val="20"/>
                <w:szCs w:val="20"/>
                <w:lang w:val="en-US" w:eastAsia="en-US" w:bidi="en-US"/>
              </w:rPr>
              <w:t>0</w:t>
            </w:r>
          </w:p>
        </w:tc>
        <w:tc>
          <w:tcPr>
            <w:tcW w:w="58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rsidR="00294BD0" w:rsidRPr="00274827" w:rsidRDefault="00294BD0" w:rsidP="00814B49">
            <w:pPr>
              <w:spacing w:after="0" w:line="276" w:lineRule="auto"/>
              <w:jc w:val="center"/>
              <w:rPr>
                <w:rFonts w:ascii="Times New Roman" w:hAnsi="Times New Roman" w:cs="Times New Roman"/>
                <w:strike/>
                <w:lang w:val="en-US" w:eastAsia="en-US" w:bidi="en-US"/>
              </w:rPr>
            </w:pPr>
            <w:r w:rsidRPr="00274827">
              <w:rPr>
                <w:rFonts w:ascii="Times New Roman" w:hAnsi="Times New Roman" w:cs="Times New Roman"/>
                <w:strike/>
                <w:sz w:val="16"/>
                <w:szCs w:val="16"/>
                <w:lang w:val="en-US" w:eastAsia="en-US" w:bidi="en-US"/>
              </w:rPr>
              <w:t>470 870,75</w:t>
            </w:r>
            <w:r w:rsidR="00274827">
              <w:rPr>
                <w:rFonts w:ascii="Times New Roman" w:hAnsi="Times New Roman" w:cs="Times New Roman"/>
                <w:strike/>
                <w:sz w:val="16"/>
                <w:szCs w:val="16"/>
                <w:lang w:val="en-US" w:eastAsia="en-US" w:bidi="en-US"/>
              </w:rPr>
              <w:t xml:space="preserve"> </w:t>
            </w:r>
            <w:r w:rsidR="00274827" w:rsidRPr="00274827">
              <w:rPr>
                <w:rFonts w:ascii="Times New Roman" w:hAnsi="Times New Roman" w:cs="Times New Roman"/>
                <w:color w:val="FF0000"/>
                <w:sz w:val="16"/>
                <w:szCs w:val="16"/>
                <w:lang w:val="en-US" w:eastAsia="en-US" w:bidi="en-US"/>
              </w:rPr>
              <w:t>471302,47</w:t>
            </w:r>
          </w:p>
        </w:tc>
        <w:tc>
          <w:tcPr>
            <w:tcW w:w="1149"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rsidTr="005B7FFE">
        <w:tc>
          <w:tcPr>
            <w:tcW w:w="2518" w:type="dxa"/>
            <w:gridSpan w:val="2"/>
            <w:tcBorders>
              <w:top w:val="single" w:sz="4" w:space="0" w:color="000000"/>
              <w:left w:val="single" w:sz="4" w:space="0" w:color="000000"/>
              <w:bottom w:val="single" w:sz="4" w:space="0" w:color="000000"/>
            </w:tcBorders>
            <w:shd w:val="clear" w:color="auto" w:fill="92CDDC"/>
          </w:tcPr>
          <w:p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1</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BD166D" w:rsidRDefault="00294BD0" w:rsidP="00814B49">
            <w:pPr>
              <w:spacing w:after="0" w:line="276" w:lineRule="auto"/>
              <w:jc w:val="center"/>
              <w:rPr>
                <w:rFonts w:ascii="Times New Roman" w:hAnsi="Times New Roman" w:cs="Times New Roman"/>
                <w:strike/>
                <w:lang w:val="en-US" w:eastAsia="en-US" w:bidi="en-US"/>
              </w:rPr>
            </w:pPr>
            <w:r w:rsidRPr="00BD166D">
              <w:rPr>
                <w:rFonts w:ascii="Times New Roman" w:hAnsi="Times New Roman" w:cs="Times New Roman"/>
                <w:strike/>
                <w:sz w:val="16"/>
                <w:szCs w:val="16"/>
                <w:lang w:val="en-US" w:eastAsia="en-US" w:bidi="en-US"/>
              </w:rPr>
              <w:t>503 474,95</w:t>
            </w:r>
            <w:r w:rsidR="00BD166D">
              <w:rPr>
                <w:rFonts w:ascii="Times New Roman" w:hAnsi="Times New Roman" w:cs="Times New Roman"/>
                <w:strike/>
                <w:sz w:val="16"/>
                <w:szCs w:val="16"/>
                <w:lang w:val="en-US" w:eastAsia="en-US" w:bidi="en-US"/>
              </w:rPr>
              <w:t xml:space="preserve"> </w:t>
            </w:r>
            <w:r w:rsidR="00BD166D" w:rsidRPr="00BD166D">
              <w:rPr>
                <w:rFonts w:ascii="Times New Roman" w:hAnsi="Times New Roman" w:cs="Times New Roman"/>
                <w:color w:val="FF0000"/>
                <w:sz w:val="16"/>
                <w:szCs w:val="16"/>
                <w:lang w:val="en-US" w:eastAsia="en-US" w:bidi="en-US"/>
              </w:rPr>
              <w:t>197841,00</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BD166D" w:rsidRDefault="00294BD0" w:rsidP="00814B49">
            <w:pPr>
              <w:spacing w:after="0" w:line="276" w:lineRule="auto"/>
              <w:jc w:val="center"/>
              <w:rPr>
                <w:rFonts w:ascii="Times New Roman" w:hAnsi="Times New Roman" w:cs="Times New Roman"/>
                <w:strike/>
                <w:lang w:val="en-US" w:eastAsia="en-US" w:bidi="en-US"/>
              </w:rPr>
            </w:pPr>
            <w:r w:rsidRPr="00BD166D">
              <w:rPr>
                <w:rFonts w:ascii="Times New Roman" w:hAnsi="Times New Roman" w:cs="Times New Roman"/>
                <w:strike/>
                <w:sz w:val="16"/>
                <w:szCs w:val="16"/>
                <w:lang w:val="en-US" w:eastAsia="en-US" w:bidi="en-US"/>
              </w:rPr>
              <w:t>418 299,63</w:t>
            </w:r>
            <w:r w:rsidR="00BD166D">
              <w:rPr>
                <w:rFonts w:ascii="Times New Roman" w:hAnsi="Times New Roman" w:cs="Times New Roman"/>
                <w:strike/>
                <w:sz w:val="16"/>
                <w:szCs w:val="16"/>
                <w:lang w:val="en-US" w:eastAsia="en-US" w:bidi="en-US"/>
              </w:rPr>
              <w:t xml:space="preserve"> </w:t>
            </w:r>
            <w:r w:rsidR="00BD166D" w:rsidRPr="00BD166D">
              <w:rPr>
                <w:rFonts w:ascii="Times New Roman" w:hAnsi="Times New Roman" w:cs="Times New Roman"/>
                <w:color w:val="FF0000"/>
                <w:sz w:val="16"/>
                <w:szCs w:val="16"/>
                <w:lang w:val="en-US" w:eastAsia="en-US" w:bidi="en-US"/>
              </w:rPr>
              <w:t>742264,28</w:t>
            </w:r>
          </w:p>
        </w:tc>
        <w:tc>
          <w:tcPr>
            <w:tcW w:w="214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294BD0" w:rsidRPr="00BD166D" w:rsidRDefault="00D12E49" w:rsidP="00814B49">
            <w:pPr>
              <w:spacing w:after="0" w:line="276" w:lineRule="auto"/>
              <w:jc w:val="center"/>
              <w:rPr>
                <w:rFonts w:ascii="Times New Roman" w:hAnsi="Times New Roman" w:cs="Times New Roman"/>
                <w:strike/>
                <w:lang w:val="en-US" w:eastAsia="en-US" w:bidi="en-US"/>
              </w:rPr>
            </w:pPr>
            <w:r w:rsidRPr="00BD166D">
              <w:rPr>
                <w:rFonts w:ascii="Times New Roman" w:hAnsi="Times New Roman" w:cs="Times New Roman"/>
                <w:strike/>
                <w:sz w:val="16"/>
                <w:szCs w:val="16"/>
                <w:lang w:val="en-US" w:eastAsia="en-US" w:bidi="en-US"/>
              </w:rPr>
              <w:t>6</w:t>
            </w:r>
            <w:r w:rsidR="00B62D07" w:rsidRPr="00BD166D">
              <w:rPr>
                <w:rFonts w:ascii="Times New Roman" w:hAnsi="Times New Roman" w:cs="Times New Roman"/>
                <w:strike/>
                <w:sz w:val="16"/>
                <w:szCs w:val="16"/>
                <w:lang w:val="en-US" w:eastAsia="en-US" w:bidi="en-US"/>
              </w:rPr>
              <w:t>50.</w:t>
            </w:r>
            <w:r w:rsidRPr="00BD166D">
              <w:rPr>
                <w:rFonts w:ascii="Times New Roman" w:hAnsi="Times New Roman" w:cs="Times New Roman"/>
                <w:strike/>
                <w:sz w:val="16"/>
                <w:szCs w:val="16"/>
                <w:lang w:val="en-US" w:eastAsia="en-US" w:bidi="en-US"/>
              </w:rPr>
              <w:t>000,00</w:t>
            </w:r>
            <w:r w:rsidR="00BD166D" w:rsidRPr="0088704F">
              <w:rPr>
                <w:rFonts w:ascii="Times New Roman" w:hAnsi="Times New Roman" w:cs="Times New Roman"/>
                <w:color w:val="FF0000"/>
                <w:sz w:val="16"/>
                <w:szCs w:val="16"/>
                <w:lang w:val="en-US" w:eastAsia="en-US" w:bidi="en-US"/>
              </w:rPr>
              <w:t>699692,03</w:t>
            </w:r>
          </w:p>
        </w:tc>
        <w:tc>
          <w:tcPr>
            <w:tcW w:w="58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rsidR="00294BD0" w:rsidRPr="004A429A" w:rsidRDefault="00E9021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57</w:t>
            </w:r>
            <w:r w:rsidR="00B50712" w:rsidRPr="004A429A">
              <w:rPr>
                <w:rFonts w:ascii="Times New Roman" w:hAnsi="Times New Roman" w:cs="Times New Roman"/>
                <w:sz w:val="16"/>
                <w:szCs w:val="16"/>
                <w:lang w:val="en-US" w:eastAsia="en-US" w:bidi="en-US"/>
              </w:rPr>
              <w:t>1</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774,58</w:t>
            </w:r>
          </w:p>
        </w:tc>
        <w:tc>
          <w:tcPr>
            <w:tcW w:w="1149"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rsidTr="005B7FFE">
        <w:tc>
          <w:tcPr>
            <w:tcW w:w="1384" w:type="dxa"/>
            <w:vMerge w:val="restart"/>
            <w:tcBorders>
              <w:top w:val="single" w:sz="4" w:space="0" w:color="000000"/>
              <w:left w:val="single" w:sz="4" w:space="0" w:color="000000"/>
              <w:bottom w:val="single" w:sz="4" w:space="0" w:color="000000"/>
            </w:tcBorders>
            <w:shd w:val="clear" w:color="auto" w:fill="FF944B"/>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8"/>
                <w:szCs w:val="18"/>
                <w:lang w:val="en-US" w:eastAsia="en-US" w:bidi="en-US"/>
              </w:rPr>
              <w:t xml:space="preserve">CEL OGÓLNY nr 2 Lepsze wykorzystanie potencjału przyrodniczego i kulturowego w rozwoju </w:t>
            </w:r>
            <w:r w:rsidRPr="004A429A">
              <w:rPr>
                <w:rFonts w:ascii="Times New Roman" w:hAnsi="Times New Roman" w:cs="Times New Roman"/>
                <w:b/>
                <w:sz w:val="18"/>
                <w:szCs w:val="18"/>
                <w:lang w:val="en-US" w:eastAsia="en-US" w:bidi="en-US"/>
              </w:rPr>
              <w:br/>
              <w:t>regionu</w:t>
            </w:r>
          </w:p>
        </w:tc>
        <w:tc>
          <w:tcPr>
            <w:tcW w:w="1134" w:type="dxa"/>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w:t>
            </w:r>
            <w:r w:rsidR="004313AB">
              <w:rPr>
                <w:rFonts w:ascii="Times New Roman" w:hAnsi="Times New Roman" w:cs="Times New Roman"/>
                <w:b/>
                <w:sz w:val="16"/>
                <w:szCs w:val="16"/>
                <w:lang w:val="en-US" w:eastAsia="en-US" w:bidi="en-US"/>
              </w:rPr>
              <w:t>4</w:t>
            </w:r>
          </w:p>
        </w:tc>
        <w:tc>
          <w:tcPr>
            <w:tcW w:w="1985"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w:t>
            </w:r>
            <w:r w:rsidR="004313AB">
              <w:rPr>
                <w:rFonts w:ascii="Times New Roman" w:hAnsi="Times New Roman" w:cs="Times New Roman"/>
                <w:b/>
                <w:sz w:val="16"/>
                <w:szCs w:val="16"/>
                <w:lang w:val="en-US" w:eastAsia="en-US" w:bidi="en-US"/>
              </w:rPr>
              <w:t>4</w:t>
            </w:r>
          </w:p>
        </w:tc>
        <w:tc>
          <w:tcPr>
            <w:tcW w:w="1134" w:type="dxa"/>
            <w:gridSpan w:val="2"/>
            <w:vMerge w:val="restart"/>
            <w:tcBorders>
              <w:top w:val="single" w:sz="4" w:space="0" w:color="000000"/>
              <w:left w:val="single" w:sz="4" w:space="0" w:color="000000"/>
              <w:bottom w:val="single" w:sz="4" w:space="0" w:color="000000"/>
            </w:tcBorders>
            <w:shd w:val="clear" w:color="auto" w:fill="FE9786"/>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vMerge w:val="restart"/>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Poddziałanie/zakres Programu</w:t>
            </w:r>
          </w:p>
        </w:tc>
      </w:tr>
      <w:tr w:rsidR="00294BD0" w:rsidRPr="004A429A" w:rsidTr="005B7FFE">
        <w:tc>
          <w:tcPr>
            <w:tcW w:w="1384" w:type="dxa"/>
            <w:vMerge/>
            <w:tcBorders>
              <w:top w:val="single" w:sz="4" w:space="0" w:color="000000"/>
              <w:left w:val="single" w:sz="4" w:space="0" w:color="000000"/>
              <w:bottom w:val="single" w:sz="4" w:space="0" w:color="000000"/>
            </w:tcBorders>
            <w:shd w:val="clear" w:color="auto" w:fill="FF944B"/>
          </w:tcPr>
          <w:p w:rsidR="00294BD0" w:rsidRPr="004A429A" w:rsidRDefault="00294BD0">
            <w:pPr>
              <w:snapToGrid w:val="0"/>
              <w:spacing w:after="120" w:line="276" w:lineRule="auto"/>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709"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567"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vMerge/>
            <w:tcBorders>
              <w:top w:val="single" w:sz="4" w:space="0" w:color="000000"/>
              <w:left w:val="single" w:sz="4" w:space="0" w:color="000000"/>
              <w:bottom w:val="single" w:sz="4" w:space="0" w:color="000000"/>
            </w:tcBorders>
            <w:shd w:val="clear" w:color="auto" w:fill="FE978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vMerge/>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2.1 Rozwój infrastruktury drogowej</w:t>
            </w:r>
          </w:p>
        </w:tc>
        <w:tc>
          <w:tcPr>
            <w:tcW w:w="1149" w:type="dxa"/>
            <w:gridSpan w:val="3"/>
            <w:tcBorders>
              <w:top w:val="single" w:sz="4" w:space="0" w:color="000000"/>
              <w:left w:val="single" w:sz="4" w:space="0" w:color="000000"/>
              <w:bottom w:val="single" w:sz="4" w:space="0" w:color="000000"/>
            </w:tcBorders>
            <w:shd w:val="clear" w:color="auto" w:fill="FEC4BA"/>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2796"/>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2.1.1  Budowa lub przebudowa publicznych  dróg </w:t>
            </w:r>
            <w:r w:rsidRPr="004A429A">
              <w:rPr>
                <w:rFonts w:ascii="Times New Roman" w:hAnsi="Times New Roman" w:cs="Times New Roman"/>
                <w:sz w:val="16"/>
                <w:szCs w:val="16"/>
                <w:lang w:val="en-US" w:eastAsia="en-US" w:bidi="en-US"/>
              </w:rPr>
              <w:br/>
              <w:t>lokalnych</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kilometrów wybudowanych/przebudowanych dróg </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0,5 kilometra</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0,5 kilometra</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 xml:space="preserve">19.2 Realizacja LSR – budowa lub przebudowa dróg gminnych lub powiatowych </w:t>
            </w:r>
          </w:p>
        </w:tc>
      </w:tr>
      <w:tr w:rsidR="00294BD0" w:rsidRPr="004A429A"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2.1</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2142" w:type="dxa"/>
            <w:gridSpan w:val="3"/>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134"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2.2 Rozwój infrastruktury turystycznej, rekreacyjnej lub kulturalnej</w:t>
            </w:r>
          </w:p>
        </w:tc>
        <w:tc>
          <w:tcPr>
            <w:tcW w:w="1134" w:type="dxa"/>
            <w:gridSpan w:val="2"/>
            <w:tcBorders>
              <w:top w:val="single" w:sz="4" w:space="0" w:color="000000"/>
              <w:left w:val="single" w:sz="4" w:space="0" w:color="000000"/>
              <w:bottom w:val="single" w:sz="4" w:space="0" w:color="000000"/>
            </w:tcBorders>
            <w:shd w:val="clear" w:color="auto" w:fill="B6DDE8"/>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2339"/>
        </w:trPr>
        <w:tc>
          <w:tcPr>
            <w:tcW w:w="1384" w:type="dxa"/>
            <w:vMerge w:val="restart"/>
            <w:tcBorders>
              <w:top w:val="single" w:sz="4" w:space="0" w:color="000000"/>
              <w:left w:val="single" w:sz="4" w:space="0" w:color="000000"/>
              <w:bottom w:val="single" w:sz="4" w:space="0" w:color="000000"/>
            </w:tcBorders>
            <w:shd w:val="clear" w:color="auto" w:fill="DAEEF3"/>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2.2.1  Rozwój obiektów ogólnodostępnej i niekomercyjnej infrastruktury turystycznej, rekreacyjnej lub kulturalnej</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0" w:line="276" w:lineRule="auto"/>
              <w:rPr>
                <w:rFonts w:ascii="Times New Roman" w:hAnsi="Times New Roman" w:cs="Times New Roman"/>
                <w:sz w:val="16"/>
                <w:szCs w:val="16"/>
                <w:lang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nowych obiektów infrastruktury turystycznej, rekreacyjnej lub kulturalnej w miejscowościach: Małomice Osieczów, Ławszowa, Wymiarki, Lutynka ,Gozdnica,  Czerna, Stawnik, Olbrachtów, Lubomyśl, Mirostowice Górne, Siodło, Miłowice, Biedrzychowice Dolne, Sieniawa Żarska, Węgliniec,</w:t>
            </w:r>
          </w:p>
          <w:p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eastAsia="en-US" w:bidi="en-US"/>
              </w:rPr>
              <w:t>Przewóz, Potok, Stary Żagań, Jagodzin, Stary Węgliniec, Mirostowice Dolne, Dłużyna Górna, Silno Małe, Tomisław, gm. Iłowa</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 szt.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44,77%</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eastAsia="Times New Roman" w:hAnsi="Times New Roman" w:cs="Times New Roman"/>
                <w:sz w:val="16"/>
                <w:szCs w:val="16"/>
              </w:rPr>
            </w:pPr>
            <w:r w:rsidRPr="004A429A">
              <w:rPr>
                <w:rFonts w:ascii="Times New Roman" w:hAnsi="Times New Roman" w:cs="Times New Roman"/>
                <w:sz w:val="16"/>
                <w:szCs w:val="16"/>
                <w:lang w:val="en-US" w:eastAsia="en-US" w:bidi="en-US"/>
              </w:rPr>
              <w:t>358 514,28</w:t>
            </w:r>
          </w:p>
        </w:tc>
        <w:tc>
          <w:tcPr>
            <w:tcW w:w="850"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rsidP="00814B49">
            <w:pPr>
              <w:autoSpaceDE w:val="0"/>
              <w:spacing w:after="0" w:line="240" w:lineRule="auto"/>
              <w:jc w:val="center"/>
              <w:rPr>
                <w:rFonts w:ascii="Times New Roman" w:eastAsia="Times New Roman" w:hAnsi="Times New Roman" w:cs="Times New Roman"/>
                <w:sz w:val="16"/>
                <w:szCs w:val="16"/>
              </w:rPr>
            </w:pPr>
            <w:r w:rsidRPr="004A429A">
              <w:rPr>
                <w:rFonts w:ascii="Times New Roman" w:eastAsia="Times New Roman" w:hAnsi="Times New Roman" w:cs="Times New Roman"/>
                <w:sz w:val="16"/>
                <w:szCs w:val="16"/>
              </w:rPr>
              <w:t>-</w:t>
            </w:r>
          </w:p>
          <w:p w:rsidR="00294BD0" w:rsidRPr="004A429A" w:rsidRDefault="00294BD0" w:rsidP="00814B49">
            <w:pPr>
              <w:autoSpaceDE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rsidP="00814B49">
            <w:pPr>
              <w:autoSpaceDE w:val="0"/>
              <w:spacing w:after="0" w:line="240" w:lineRule="auto"/>
              <w:jc w:val="center"/>
              <w:rPr>
                <w:rFonts w:ascii="Times New Roman" w:eastAsia="Times New Roman" w:hAnsi="Times New Roman" w:cs="Times New Roman"/>
                <w:strike/>
                <w:sz w:val="16"/>
                <w:szCs w:val="16"/>
              </w:rPr>
            </w:pPr>
            <w:r w:rsidRPr="004A429A">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rsidP="00814B49">
            <w:pPr>
              <w:autoSpaceDE w:val="0"/>
              <w:snapToGrid w:val="0"/>
              <w:spacing w:after="0" w:line="240" w:lineRule="auto"/>
              <w:jc w:val="center"/>
              <w:rPr>
                <w:rFonts w:ascii="Times New Roman" w:eastAsia="Times New Roman" w:hAnsi="Times New Roman" w:cs="Times New Roman"/>
                <w:strike/>
                <w:sz w:val="16"/>
                <w:szCs w:val="16"/>
              </w:rPr>
            </w:pPr>
          </w:p>
          <w:p w:rsidR="00294BD0" w:rsidRPr="004A429A" w:rsidRDefault="00294BD0" w:rsidP="00814B49">
            <w:pPr>
              <w:autoSpaceDE w:val="0"/>
              <w:spacing w:after="0" w:line="240" w:lineRule="auto"/>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u w:val="single"/>
              </w:rPr>
              <w:t>-</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9 szt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741F9" w:rsidRDefault="00294BD0" w:rsidP="00814B49">
            <w:pPr>
              <w:spacing w:after="0" w:line="276" w:lineRule="auto"/>
              <w:jc w:val="center"/>
              <w:rPr>
                <w:strike/>
              </w:rPr>
            </w:pPr>
            <w:r w:rsidRPr="004741F9">
              <w:rPr>
                <w:rFonts w:ascii="Times New Roman" w:hAnsi="Times New Roman" w:cs="Times New Roman"/>
                <w:strike/>
                <w:sz w:val="16"/>
                <w:szCs w:val="16"/>
                <w:lang w:val="en-US" w:eastAsia="en-US" w:bidi="en-US"/>
              </w:rPr>
              <w:t>442 249,69</w:t>
            </w:r>
          </w:p>
          <w:p w:rsidR="00294BD0" w:rsidRPr="004741F9" w:rsidRDefault="004741F9" w:rsidP="00814B49">
            <w:pPr>
              <w:spacing w:after="0" w:line="276" w:lineRule="auto"/>
              <w:jc w:val="center"/>
              <w:rPr>
                <w:color w:val="FF0000"/>
                <w:sz w:val="18"/>
                <w:szCs w:val="18"/>
              </w:rPr>
            </w:pPr>
            <w:r w:rsidRPr="004741F9">
              <w:rPr>
                <w:color w:val="FF0000"/>
                <w:sz w:val="18"/>
                <w:szCs w:val="18"/>
              </w:rPr>
              <w:t>3848</w:t>
            </w:r>
            <w:r w:rsidR="00001A49">
              <w:rPr>
                <w:color w:val="FF0000"/>
                <w:sz w:val="18"/>
                <w:szCs w:val="18"/>
              </w:rPr>
              <w:t>88</w:t>
            </w:r>
            <w:r w:rsidRPr="004741F9">
              <w:rPr>
                <w:color w:val="FF0000"/>
                <w:sz w:val="18"/>
                <w:szCs w:val="18"/>
              </w:rPr>
              <w:t>,</w:t>
            </w:r>
            <w:r w:rsidR="00001A49">
              <w:rPr>
                <w:color w:val="FF0000"/>
                <w:sz w:val="18"/>
                <w:szCs w:val="18"/>
              </w:rPr>
              <w:t>45</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rPr>
              <w:t>100%</w:t>
            </w:r>
          </w:p>
          <w:p w:rsidR="00294BD0" w:rsidRPr="004A429A" w:rsidRDefault="00294BD0" w:rsidP="00814B49">
            <w:pPr>
              <w:jc w:val="center"/>
              <w:rPr>
                <w:rFonts w:ascii="Times New Roman" w:hAnsi="Times New Roman" w:cs="Times New Roman"/>
                <w:sz w:val="16"/>
                <w:szCs w:val="16"/>
                <w:lang w:val="en-US" w:eastAsia="en-US" w:bidi="en-US"/>
              </w:rPr>
            </w:pPr>
          </w:p>
          <w:p w:rsidR="00294BD0" w:rsidRPr="004A429A" w:rsidRDefault="00294BD0" w:rsidP="00814B49">
            <w:pPr>
              <w:jc w:val="center"/>
              <w:rPr>
                <w:rFonts w:ascii="Times New Roman" w:hAnsi="Times New Roman" w:cs="Times New Roman"/>
                <w:sz w:val="16"/>
                <w:szCs w:val="16"/>
                <w:lang w:val="en-US" w:eastAsia="en-US" w:bidi="en-US"/>
              </w:rPr>
            </w:pPr>
          </w:p>
          <w:p w:rsidR="00294BD0" w:rsidRPr="004A429A" w:rsidRDefault="00294BD0" w:rsidP="00814B49">
            <w:pPr>
              <w:jc w:val="center"/>
              <w:rPr>
                <w:rFonts w:ascii="Times New Roman" w:hAnsi="Times New Roman" w:cs="Times New Roman"/>
                <w:sz w:val="16"/>
                <w:szCs w:val="16"/>
                <w:lang w:val="en-US" w:eastAsia="en-US" w:bidi="en-US"/>
              </w:rPr>
            </w:pPr>
          </w:p>
          <w:p w:rsidR="00294BD0" w:rsidRPr="004A429A" w:rsidRDefault="00294BD0" w:rsidP="00814B49">
            <w:pPr>
              <w:jc w:val="center"/>
              <w:rPr>
                <w:rFonts w:ascii="Times New Roman" w:hAnsi="Times New Roman" w:cs="Times New Roman"/>
                <w:sz w:val="16"/>
                <w:szCs w:val="16"/>
                <w:lang w:val="en-US" w:eastAsia="en-US" w:bidi="en-US"/>
              </w:rPr>
            </w:pPr>
          </w:p>
          <w:p w:rsidR="00294BD0" w:rsidRPr="004A429A" w:rsidRDefault="00294BD0" w:rsidP="00814B49">
            <w:pPr>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25 szt</w:t>
            </w:r>
          </w:p>
        </w:tc>
        <w:tc>
          <w:tcPr>
            <w:tcW w:w="1418" w:type="dxa"/>
            <w:gridSpan w:val="2"/>
            <w:tcBorders>
              <w:top w:val="single" w:sz="4" w:space="0" w:color="000000"/>
              <w:left w:val="single" w:sz="4" w:space="0" w:color="000000"/>
              <w:bottom w:val="single" w:sz="4" w:space="0" w:color="000000"/>
            </w:tcBorders>
            <w:shd w:val="clear" w:color="auto" w:fill="auto"/>
          </w:tcPr>
          <w:p w:rsidR="00294BD0" w:rsidRDefault="00294BD0" w:rsidP="00814B49">
            <w:pPr>
              <w:spacing w:after="0" w:line="276" w:lineRule="auto"/>
              <w:jc w:val="center"/>
              <w:rPr>
                <w:rFonts w:ascii="Times New Roman" w:hAnsi="Times New Roman" w:cs="Times New Roman"/>
                <w:strike/>
                <w:sz w:val="16"/>
                <w:szCs w:val="16"/>
                <w:lang w:val="en-US" w:eastAsia="en-US" w:bidi="en-US"/>
              </w:rPr>
            </w:pPr>
            <w:r w:rsidRPr="00001A49">
              <w:rPr>
                <w:rFonts w:ascii="Times New Roman" w:hAnsi="Times New Roman" w:cs="Times New Roman"/>
                <w:strike/>
                <w:sz w:val="16"/>
                <w:szCs w:val="16"/>
                <w:lang w:val="en-US" w:eastAsia="en-US" w:bidi="en-US"/>
              </w:rPr>
              <w:t>80</w:t>
            </w:r>
            <w:r w:rsidR="007F4692" w:rsidRPr="00001A49">
              <w:rPr>
                <w:rFonts w:ascii="Times New Roman" w:hAnsi="Times New Roman" w:cs="Times New Roman"/>
                <w:strike/>
                <w:sz w:val="16"/>
                <w:szCs w:val="16"/>
                <w:lang w:val="en-US" w:eastAsia="en-US" w:bidi="en-US"/>
              </w:rPr>
              <w:t>0</w:t>
            </w:r>
            <w:r w:rsidR="00814B49" w:rsidRPr="00001A49">
              <w:rPr>
                <w:rFonts w:ascii="Times New Roman" w:hAnsi="Times New Roman" w:cs="Times New Roman"/>
                <w:strike/>
                <w:sz w:val="16"/>
                <w:szCs w:val="16"/>
                <w:lang w:val="en-US" w:eastAsia="en-US" w:bidi="en-US"/>
              </w:rPr>
              <w:t xml:space="preserve"> </w:t>
            </w:r>
            <w:r w:rsidRPr="00001A49">
              <w:rPr>
                <w:rFonts w:ascii="Times New Roman" w:hAnsi="Times New Roman" w:cs="Times New Roman"/>
                <w:strike/>
                <w:sz w:val="16"/>
                <w:szCs w:val="16"/>
                <w:lang w:val="en-US" w:eastAsia="en-US" w:bidi="en-US"/>
              </w:rPr>
              <w:t>763,97</w:t>
            </w:r>
          </w:p>
          <w:p w:rsidR="007447EF" w:rsidRPr="007447EF" w:rsidRDefault="007447EF" w:rsidP="00814B49">
            <w:pPr>
              <w:spacing w:after="0" w:line="276" w:lineRule="auto"/>
              <w:jc w:val="center"/>
              <w:rPr>
                <w:rFonts w:ascii="Times New Roman" w:hAnsi="Times New Roman" w:cs="Times New Roman"/>
                <w:color w:val="FF0000"/>
                <w:sz w:val="16"/>
                <w:szCs w:val="16"/>
                <w:lang w:val="en-US" w:eastAsia="en-US" w:bidi="en-US"/>
              </w:rPr>
            </w:pPr>
            <w:r w:rsidRPr="007447EF">
              <w:rPr>
                <w:rFonts w:ascii="Times New Roman" w:hAnsi="Times New Roman" w:cs="Times New Roman"/>
                <w:color w:val="FF0000"/>
                <w:sz w:val="16"/>
                <w:szCs w:val="16"/>
                <w:lang w:val="en-US" w:eastAsia="en-US" w:bidi="en-US"/>
              </w:rPr>
              <w:t>743402,73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 340 000 zł) w latach 2022-2023</w:t>
            </w:r>
          </w:p>
          <w:p w:rsidR="00294BD0" w:rsidRPr="004A429A" w:rsidRDefault="00294BD0">
            <w:pPr>
              <w:spacing w:after="120" w:line="276" w:lineRule="auto"/>
              <w:rPr>
                <w:rFonts w:ascii="Times New Roman" w:hAnsi="Times New Roman" w:cs="Times New Roman"/>
                <w:sz w:val="16"/>
                <w:szCs w:val="16"/>
                <w:lang w:val="en-US" w:eastAsia="en-US" w:bidi="en-US"/>
              </w:rPr>
            </w:pPr>
          </w:p>
        </w:tc>
      </w:tr>
      <w:tr w:rsidR="00294BD0" w:rsidRPr="004A429A" w:rsidTr="005B7FFE">
        <w:trPr>
          <w:trHeight w:val="986"/>
        </w:trPr>
        <w:tc>
          <w:tcPr>
            <w:tcW w:w="1384" w:type="dxa"/>
            <w:vMerge/>
            <w:tcBorders>
              <w:top w:val="single" w:sz="4" w:space="0" w:color="000000"/>
              <w:left w:val="single" w:sz="4" w:space="0" w:color="000000"/>
              <w:bottom w:val="single" w:sz="4" w:space="0" w:color="000000"/>
            </w:tcBorders>
            <w:shd w:val="clear" w:color="auto" w:fill="DAEEF3"/>
            <w:textDirection w:val="btLr"/>
          </w:tcPr>
          <w:p w:rsidR="00294BD0" w:rsidRPr="004A429A" w:rsidRDefault="00294BD0">
            <w:pPr>
              <w:snapToGrid w:val="0"/>
              <w:spacing w:after="120" w:line="276" w:lineRule="auto"/>
              <w:ind w:left="113" w:right="113"/>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przebudowanych obiektów infrastruktury turystycznej, rekreacyjnej lub kulturalnej w miejscowościach Witoszyn, Stary Żagań, Konin Żagański, Pieńsku, </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165 412,18</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w:t>
            </w:r>
          </w:p>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rPr>
              <w:t>100%</w:t>
            </w:r>
          </w:p>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165 412,18</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p w:rsidR="00294BD0" w:rsidRPr="004A429A" w:rsidRDefault="00294BD0">
            <w:pPr>
              <w:spacing w:after="120" w:line="276" w:lineRule="auto"/>
              <w:rPr>
                <w:rFonts w:ascii="Times New Roman" w:hAnsi="Times New Roman" w:cs="Times New Roman"/>
                <w:sz w:val="16"/>
                <w:szCs w:val="16"/>
                <w:lang w:val="en-US" w:eastAsia="en-US" w:bidi="en-US"/>
              </w:rPr>
            </w:pPr>
          </w:p>
        </w:tc>
      </w:tr>
      <w:tr w:rsidR="00294BD0" w:rsidRPr="004A429A" w:rsidTr="005B7FFE">
        <w:trPr>
          <w:trHeight w:val="986"/>
        </w:trPr>
        <w:tc>
          <w:tcPr>
            <w:tcW w:w="1384" w:type="dxa"/>
            <w:vMerge/>
            <w:tcBorders>
              <w:top w:val="single" w:sz="4" w:space="0" w:color="000000"/>
              <w:left w:val="single" w:sz="4" w:space="0" w:color="000000"/>
              <w:bottom w:val="single" w:sz="4" w:space="0" w:color="000000"/>
            </w:tcBorders>
            <w:shd w:val="clear" w:color="auto" w:fill="DAEEF3"/>
            <w:textDirection w:val="btLr"/>
          </w:tcPr>
          <w:p w:rsidR="00294BD0" w:rsidRPr="004A429A" w:rsidRDefault="00294BD0">
            <w:pPr>
              <w:snapToGrid w:val="0"/>
              <w:spacing w:after="120" w:line="276" w:lineRule="auto"/>
              <w:ind w:left="113" w:right="113"/>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(w hektarach) wybudowanych lub przebudowanych terenów zielonych w miejscowości Bieniów, Olbrachtów, Pieńsk i Gozdnica</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0,62 ha</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67%</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52 712,58</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0,38 ha</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4A3AF3" w:rsidP="00814B49">
            <w:pPr>
              <w:snapToGrid w:val="0"/>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741F9" w:rsidRDefault="004A3AF3" w:rsidP="00814B49">
            <w:pPr>
              <w:spacing w:after="120" w:line="276" w:lineRule="auto"/>
              <w:jc w:val="center"/>
              <w:rPr>
                <w:rFonts w:ascii="Times New Roman" w:hAnsi="Times New Roman" w:cs="Times New Roman"/>
                <w:strike/>
                <w:sz w:val="16"/>
                <w:szCs w:val="16"/>
                <w:lang w:val="en-US" w:eastAsia="en-US" w:bidi="en-US"/>
              </w:rPr>
            </w:pPr>
            <w:r w:rsidRPr="004741F9">
              <w:rPr>
                <w:rFonts w:ascii="Times New Roman" w:hAnsi="Times New Roman" w:cs="Times New Roman"/>
                <w:strike/>
                <w:sz w:val="16"/>
                <w:szCs w:val="16"/>
                <w:lang w:val="en-US" w:eastAsia="en-US" w:bidi="en-US"/>
              </w:rPr>
              <w:t>55000,00</w:t>
            </w:r>
            <w:r w:rsidR="004741F9">
              <w:rPr>
                <w:rFonts w:ascii="Times New Roman" w:hAnsi="Times New Roman" w:cs="Times New Roman"/>
                <w:strike/>
                <w:sz w:val="16"/>
                <w:szCs w:val="16"/>
                <w:lang w:val="en-US" w:eastAsia="en-US" w:bidi="en-US"/>
              </w:rPr>
              <w:t xml:space="preserve"> </w:t>
            </w:r>
            <w:r w:rsidR="004741F9" w:rsidRPr="004741F9">
              <w:rPr>
                <w:rFonts w:ascii="Times New Roman" w:hAnsi="Times New Roman" w:cs="Times New Roman"/>
                <w:color w:val="FF0000"/>
                <w:sz w:val="16"/>
                <w:szCs w:val="16"/>
                <w:lang w:val="en-US" w:eastAsia="en-US" w:bidi="en-US"/>
              </w:rPr>
              <w:t>47867,71</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 ha</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044585" w:rsidRDefault="00294BD0" w:rsidP="00814B49">
            <w:pPr>
              <w:spacing w:after="0" w:line="276" w:lineRule="auto"/>
              <w:jc w:val="center"/>
              <w:rPr>
                <w:rFonts w:ascii="Times New Roman" w:hAnsi="Times New Roman" w:cs="Times New Roman"/>
                <w:strike/>
                <w:sz w:val="16"/>
                <w:szCs w:val="16"/>
                <w:lang w:val="en-US" w:eastAsia="en-US" w:bidi="en-US"/>
              </w:rPr>
            </w:pPr>
            <w:r w:rsidRPr="00044585">
              <w:rPr>
                <w:rFonts w:ascii="Times New Roman" w:hAnsi="Times New Roman" w:cs="Times New Roman"/>
                <w:strike/>
                <w:sz w:val="16"/>
                <w:szCs w:val="16"/>
                <w:lang w:val="en-US" w:eastAsia="en-US" w:bidi="en-US"/>
              </w:rPr>
              <w:t>10</w:t>
            </w:r>
            <w:r w:rsidR="007F4692" w:rsidRPr="00044585">
              <w:rPr>
                <w:rFonts w:ascii="Times New Roman" w:hAnsi="Times New Roman" w:cs="Times New Roman"/>
                <w:strike/>
                <w:sz w:val="16"/>
                <w:szCs w:val="16"/>
                <w:lang w:val="en-US" w:eastAsia="en-US" w:bidi="en-US"/>
              </w:rPr>
              <w:t>7</w:t>
            </w:r>
            <w:r w:rsidR="00B5318C" w:rsidRPr="00044585">
              <w:rPr>
                <w:rFonts w:ascii="Times New Roman" w:hAnsi="Times New Roman" w:cs="Times New Roman"/>
                <w:strike/>
                <w:sz w:val="16"/>
                <w:szCs w:val="16"/>
                <w:lang w:val="en-US" w:eastAsia="en-US" w:bidi="en-US"/>
              </w:rPr>
              <w:t xml:space="preserve"> </w:t>
            </w:r>
            <w:r w:rsidRPr="00044585">
              <w:rPr>
                <w:rFonts w:ascii="Times New Roman" w:hAnsi="Times New Roman" w:cs="Times New Roman"/>
                <w:strike/>
                <w:sz w:val="16"/>
                <w:szCs w:val="16"/>
                <w:lang w:val="en-US" w:eastAsia="en-US" w:bidi="en-US"/>
              </w:rPr>
              <w:t>712,58</w:t>
            </w:r>
            <w:r w:rsidR="00044585">
              <w:rPr>
                <w:rFonts w:ascii="Times New Roman" w:hAnsi="Times New Roman" w:cs="Times New Roman"/>
                <w:strike/>
                <w:sz w:val="16"/>
                <w:szCs w:val="16"/>
                <w:lang w:val="en-US" w:eastAsia="en-US" w:bidi="en-US"/>
              </w:rPr>
              <w:t xml:space="preserve"> </w:t>
            </w:r>
            <w:r w:rsidR="00044585" w:rsidRPr="00044585">
              <w:rPr>
                <w:rFonts w:ascii="Times New Roman" w:hAnsi="Times New Roman" w:cs="Times New Roman"/>
                <w:color w:val="FF0000"/>
                <w:sz w:val="16"/>
                <w:szCs w:val="16"/>
                <w:lang w:val="en-US" w:eastAsia="en-US" w:bidi="en-US"/>
              </w:rPr>
              <w:t>100580,29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tc>
      </w:tr>
      <w:tr w:rsidR="00294BD0" w:rsidRPr="004A429A" w:rsidTr="005B7FFE">
        <w:tc>
          <w:tcPr>
            <w:tcW w:w="25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2.2</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576 639,04</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napToGrid w:val="0"/>
              <w:spacing w:after="0" w:line="276" w:lineRule="auto"/>
              <w:jc w:val="center"/>
              <w:rPr>
                <w:rFonts w:ascii="Times New Roman" w:hAnsi="Times New Roman" w:cs="Times New Roman"/>
                <w:strike/>
                <w:sz w:val="16"/>
                <w:szCs w:val="16"/>
                <w:lang w:val="en-US" w:eastAsia="en-US" w:bidi="en-US"/>
              </w:rPr>
            </w:pPr>
          </w:p>
          <w:p w:rsidR="00294BD0" w:rsidRPr="004A429A" w:rsidRDefault="00294BD0" w:rsidP="00814B49">
            <w:pPr>
              <w:spacing w:after="0" w:line="276" w:lineRule="auto"/>
              <w:jc w:val="center"/>
              <w:rPr>
                <w:rFonts w:ascii="Times New Roman" w:hAnsi="Times New Roman" w:cs="Times New Roman"/>
                <w:lang w:val="en-US" w:eastAsia="en-US" w:bidi="en-US"/>
              </w:rPr>
            </w:pPr>
          </w:p>
        </w:tc>
        <w:tc>
          <w:tcPr>
            <w:tcW w:w="709" w:type="dxa"/>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33" w:type="dxa"/>
            <w:gridSpan w:val="2"/>
            <w:tcBorders>
              <w:top w:val="single" w:sz="4" w:space="0" w:color="000000"/>
              <w:left w:val="single" w:sz="4" w:space="0" w:color="000000"/>
              <w:bottom w:val="single" w:sz="4" w:space="0" w:color="000000"/>
            </w:tcBorders>
            <w:shd w:val="clear" w:color="auto" w:fill="auto"/>
          </w:tcPr>
          <w:p w:rsidR="00294BD0" w:rsidRPr="00F3729A" w:rsidRDefault="00294BD0" w:rsidP="00814B49">
            <w:pPr>
              <w:spacing w:after="0" w:line="276" w:lineRule="auto"/>
              <w:jc w:val="center"/>
              <w:rPr>
                <w:rFonts w:ascii="Times New Roman" w:hAnsi="Times New Roman" w:cs="Times New Roman"/>
                <w:strike/>
                <w:sz w:val="16"/>
                <w:szCs w:val="16"/>
                <w:lang w:val="en-US" w:eastAsia="en-US" w:bidi="en-US"/>
              </w:rPr>
            </w:pPr>
            <w:r w:rsidRPr="00F3729A">
              <w:rPr>
                <w:rFonts w:ascii="Times New Roman" w:hAnsi="Times New Roman" w:cs="Times New Roman"/>
                <w:strike/>
                <w:sz w:val="16"/>
                <w:szCs w:val="16"/>
                <w:lang w:val="en-US" w:eastAsia="en-US" w:bidi="en-US"/>
              </w:rPr>
              <w:t>4</w:t>
            </w:r>
            <w:r w:rsidR="004A3AF3" w:rsidRPr="00F3729A">
              <w:rPr>
                <w:rFonts w:ascii="Times New Roman" w:hAnsi="Times New Roman" w:cs="Times New Roman"/>
                <w:strike/>
                <w:sz w:val="16"/>
                <w:szCs w:val="16"/>
                <w:lang w:val="en-US" w:eastAsia="en-US" w:bidi="en-US"/>
              </w:rPr>
              <w:t>97</w:t>
            </w:r>
            <w:r w:rsidR="00814B49" w:rsidRPr="00F3729A">
              <w:rPr>
                <w:rFonts w:ascii="Times New Roman" w:hAnsi="Times New Roman" w:cs="Times New Roman"/>
                <w:strike/>
                <w:sz w:val="16"/>
                <w:szCs w:val="16"/>
                <w:lang w:val="en-US" w:eastAsia="en-US" w:bidi="en-US"/>
              </w:rPr>
              <w:t xml:space="preserve"> </w:t>
            </w:r>
            <w:r w:rsidRPr="00F3729A">
              <w:rPr>
                <w:rFonts w:ascii="Times New Roman" w:hAnsi="Times New Roman" w:cs="Times New Roman"/>
                <w:strike/>
                <w:sz w:val="16"/>
                <w:szCs w:val="16"/>
                <w:lang w:val="en-US" w:eastAsia="en-US" w:bidi="en-US"/>
              </w:rPr>
              <w:t xml:space="preserve"> 249,69</w:t>
            </w:r>
            <w:r w:rsidR="00F3729A">
              <w:rPr>
                <w:rFonts w:ascii="Times New Roman" w:hAnsi="Times New Roman" w:cs="Times New Roman"/>
                <w:strike/>
                <w:sz w:val="16"/>
                <w:szCs w:val="16"/>
                <w:lang w:val="en-US" w:eastAsia="en-US" w:bidi="en-US"/>
              </w:rPr>
              <w:t xml:space="preserve"> </w:t>
            </w:r>
            <w:r w:rsidR="00F3729A" w:rsidRPr="00F3729A">
              <w:rPr>
                <w:rFonts w:ascii="Times New Roman" w:hAnsi="Times New Roman" w:cs="Times New Roman"/>
                <w:color w:val="FF0000"/>
                <w:sz w:val="16"/>
                <w:szCs w:val="16"/>
                <w:lang w:val="en-US" w:eastAsia="en-US" w:bidi="en-US"/>
              </w:rPr>
              <w:t>432756,16</w:t>
            </w:r>
          </w:p>
        </w:tc>
        <w:tc>
          <w:tcPr>
            <w:tcW w:w="835" w:type="dxa"/>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F3729A" w:rsidRDefault="00294BD0" w:rsidP="00814B49">
            <w:pPr>
              <w:spacing w:after="0" w:line="276" w:lineRule="auto"/>
              <w:jc w:val="center"/>
              <w:rPr>
                <w:rFonts w:ascii="Times New Roman" w:hAnsi="Times New Roman" w:cs="Times New Roman"/>
                <w:strike/>
                <w:sz w:val="16"/>
                <w:szCs w:val="16"/>
                <w:lang w:val="en-US" w:eastAsia="en-US" w:bidi="en-US"/>
              </w:rPr>
            </w:pPr>
            <w:r w:rsidRPr="00F3729A">
              <w:rPr>
                <w:rFonts w:ascii="Times New Roman" w:hAnsi="Times New Roman" w:cs="Times New Roman"/>
                <w:strike/>
                <w:sz w:val="16"/>
                <w:szCs w:val="16"/>
                <w:lang w:val="en-US" w:eastAsia="en-US" w:bidi="en-US"/>
              </w:rPr>
              <w:t>1</w:t>
            </w:r>
            <w:r w:rsidR="00814B49" w:rsidRPr="00F3729A">
              <w:rPr>
                <w:rFonts w:ascii="Times New Roman" w:hAnsi="Times New Roman" w:cs="Times New Roman"/>
                <w:strike/>
                <w:sz w:val="16"/>
                <w:szCs w:val="16"/>
                <w:lang w:val="en-US" w:eastAsia="en-US" w:bidi="en-US"/>
              </w:rPr>
              <w:t xml:space="preserve"> </w:t>
            </w:r>
            <w:r w:rsidRPr="00F3729A">
              <w:rPr>
                <w:rFonts w:ascii="Times New Roman" w:hAnsi="Times New Roman" w:cs="Times New Roman"/>
                <w:strike/>
                <w:sz w:val="16"/>
                <w:szCs w:val="16"/>
                <w:lang w:val="en-US" w:eastAsia="en-US" w:bidi="en-US"/>
              </w:rPr>
              <w:t>073</w:t>
            </w:r>
            <w:r w:rsidR="00814B49" w:rsidRPr="00F3729A">
              <w:rPr>
                <w:rFonts w:ascii="Times New Roman" w:hAnsi="Times New Roman" w:cs="Times New Roman"/>
                <w:strike/>
                <w:sz w:val="16"/>
                <w:szCs w:val="16"/>
                <w:lang w:val="en-US" w:eastAsia="en-US" w:bidi="en-US"/>
              </w:rPr>
              <w:t xml:space="preserve"> </w:t>
            </w:r>
            <w:r w:rsidRPr="00F3729A">
              <w:rPr>
                <w:rFonts w:ascii="Times New Roman" w:hAnsi="Times New Roman" w:cs="Times New Roman"/>
                <w:strike/>
                <w:sz w:val="16"/>
                <w:szCs w:val="16"/>
                <w:lang w:val="en-US" w:eastAsia="en-US" w:bidi="en-US"/>
              </w:rPr>
              <w:t>888,73</w:t>
            </w:r>
          </w:p>
          <w:p w:rsidR="00294BD0" w:rsidRPr="00F3729A" w:rsidRDefault="00F3729A" w:rsidP="00814B49">
            <w:pPr>
              <w:spacing w:after="0" w:line="276" w:lineRule="auto"/>
              <w:jc w:val="center"/>
              <w:rPr>
                <w:rFonts w:ascii="Times New Roman" w:hAnsi="Times New Roman" w:cs="Times New Roman"/>
                <w:strike/>
                <w:color w:val="FF0000"/>
                <w:lang w:val="en-US" w:eastAsia="en-US" w:bidi="en-US"/>
              </w:rPr>
            </w:pPr>
            <w:r w:rsidRPr="00F3729A">
              <w:rPr>
                <w:rFonts w:ascii="Times New Roman" w:hAnsi="Times New Roman" w:cs="Times New Roman"/>
                <w:color w:val="FF0000"/>
                <w:sz w:val="16"/>
                <w:szCs w:val="16"/>
                <w:lang w:val="en-US" w:eastAsia="en-US" w:bidi="en-US"/>
              </w:rPr>
              <w:t>1</w:t>
            </w:r>
            <w:r>
              <w:rPr>
                <w:rFonts w:ascii="Times New Roman" w:hAnsi="Times New Roman" w:cs="Times New Roman"/>
                <w:color w:val="FF0000"/>
                <w:sz w:val="16"/>
                <w:szCs w:val="16"/>
                <w:lang w:val="en-US" w:eastAsia="en-US" w:bidi="en-US"/>
              </w:rPr>
              <w:t xml:space="preserve"> </w:t>
            </w:r>
            <w:r w:rsidRPr="00F3729A">
              <w:rPr>
                <w:rFonts w:ascii="Times New Roman" w:hAnsi="Times New Roman" w:cs="Times New Roman"/>
                <w:color w:val="FF0000"/>
                <w:sz w:val="16"/>
                <w:szCs w:val="16"/>
                <w:lang w:val="en-US" w:eastAsia="en-US" w:bidi="en-US"/>
              </w:rPr>
              <w:t>009395,20</w:t>
            </w:r>
          </w:p>
        </w:tc>
        <w:tc>
          <w:tcPr>
            <w:tcW w:w="1134"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2.3 Rozwój usług edukacyjnych</w:t>
            </w:r>
          </w:p>
        </w:tc>
        <w:tc>
          <w:tcPr>
            <w:tcW w:w="1134" w:type="dxa"/>
            <w:gridSpan w:val="2"/>
            <w:tcBorders>
              <w:top w:val="single" w:sz="4" w:space="0" w:color="000000"/>
              <w:left w:val="single" w:sz="4" w:space="0" w:color="000000"/>
              <w:bottom w:val="single" w:sz="4" w:space="0" w:color="000000"/>
            </w:tcBorders>
            <w:shd w:val="clear" w:color="auto" w:fill="FEC4BA"/>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5B7FFE" w:rsidRPr="004A429A" w:rsidTr="005B7FFE">
        <w:trPr>
          <w:gridAfter w:val="1"/>
          <w:wAfter w:w="15" w:type="dxa"/>
          <w:trHeight w:val="2887"/>
        </w:trPr>
        <w:tc>
          <w:tcPr>
            <w:tcW w:w="1384" w:type="dxa"/>
            <w:tcBorders>
              <w:top w:val="single" w:sz="4" w:space="0" w:color="000000"/>
              <w:left w:val="single" w:sz="4" w:space="0" w:color="000000"/>
              <w:bottom w:val="single" w:sz="4" w:space="0" w:color="000000"/>
            </w:tcBorders>
            <w:shd w:val="clear" w:color="auto" w:fill="FFD5B9"/>
            <w:textDirection w:val="btLr"/>
          </w:tcPr>
          <w:p w:rsidR="005B7FFE" w:rsidRPr="004A429A" w:rsidRDefault="005B7FFE">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2.3.1 </w:t>
            </w:r>
            <w:r w:rsidRPr="004A429A">
              <w:rPr>
                <w:rFonts w:ascii="Times New Roman" w:hAnsi="Times New Roman" w:cs="Times New Roman"/>
                <w:sz w:val="16"/>
                <w:szCs w:val="16"/>
                <w:lang w:eastAsia="en-US" w:bidi="en-US"/>
              </w:rPr>
              <w:t>Rozwój ofert edukacyjnych w regionie</w:t>
            </w:r>
          </w:p>
        </w:tc>
        <w:tc>
          <w:tcPr>
            <w:tcW w:w="1134" w:type="dxa"/>
            <w:tcBorders>
              <w:top w:val="single" w:sz="4" w:space="0" w:color="000000"/>
              <w:left w:val="single" w:sz="4" w:space="0" w:color="000000"/>
              <w:bottom w:val="single" w:sz="4" w:space="0" w:color="000000"/>
            </w:tcBorders>
            <w:shd w:val="clear" w:color="auto" w:fill="auto"/>
          </w:tcPr>
          <w:p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zrealizowanych projektów współpracy </w:t>
            </w:r>
          </w:p>
        </w:tc>
        <w:tc>
          <w:tcPr>
            <w:tcW w:w="851" w:type="dxa"/>
            <w:tcBorders>
              <w:top w:val="single" w:sz="4" w:space="0" w:color="000000"/>
              <w:left w:val="single" w:sz="4" w:space="0" w:color="000000"/>
              <w:bottom w:val="single" w:sz="4" w:space="0" w:color="000000"/>
            </w:tcBorders>
            <w:shd w:val="clear" w:color="auto" w:fill="auto"/>
          </w:tcPr>
          <w:p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992"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709" w:type="dxa"/>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1418" w:type="dxa"/>
            <w:gridSpan w:val="2"/>
            <w:tcBorders>
              <w:top w:val="single" w:sz="4" w:space="0" w:color="000000"/>
              <w:left w:val="single" w:sz="4" w:space="0" w:color="000000"/>
              <w:bottom w:val="single" w:sz="4" w:space="0" w:color="000000"/>
            </w:tcBorders>
            <w:shd w:val="clear" w:color="auto" w:fill="auto"/>
          </w:tcPr>
          <w:p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19.3 Projekt współpracy </w:t>
            </w:r>
          </w:p>
          <w:p w:rsidR="005B7FFE" w:rsidRPr="004A429A" w:rsidRDefault="005B7FFE">
            <w:pPr>
              <w:spacing w:after="120" w:line="276" w:lineRule="auto"/>
              <w:jc w:val="center"/>
            </w:pPr>
            <w:r w:rsidRPr="004A429A">
              <w:rPr>
                <w:rFonts w:ascii="Times New Roman" w:hAnsi="Times New Roman" w:cs="Times New Roman"/>
                <w:sz w:val="16"/>
                <w:szCs w:val="16"/>
                <w:lang w:val="en-US" w:eastAsia="en-US" w:bidi="en-US"/>
              </w:rPr>
              <w:t xml:space="preserve">*(zgodnie z rozorządzeniem Ministra Rolnictwa i Rozwoju Wsi z dnia 15 lipca 2020 r. §7 ust. 1 limit pomocy dla LGD wynosi 10%) </w:t>
            </w:r>
          </w:p>
        </w:tc>
      </w:tr>
      <w:tr w:rsidR="00294BD0" w:rsidRPr="004A429A"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2.3</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709" w:type="dxa"/>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17" w:type="dxa"/>
            <w:tcBorders>
              <w:top w:val="single" w:sz="4" w:space="0" w:color="000000"/>
              <w:left w:val="single" w:sz="4" w:space="0" w:color="000000"/>
              <w:bottom w:val="single" w:sz="4" w:space="0" w:color="000000"/>
            </w:tcBorders>
            <w:shd w:val="clear" w:color="auto" w:fill="FFFFFF"/>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85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1134"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425"/>
        </w:trPr>
        <w:tc>
          <w:tcPr>
            <w:tcW w:w="2518" w:type="dxa"/>
            <w:gridSpan w:val="2"/>
            <w:tcBorders>
              <w:top w:val="single" w:sz="4" w:space="0" w:color="000000"/>
              <w:left w:val="single" w:sz="4" w:space="0" w:color="000000"/>
              <w:bottom w:val="single" w:sz="4" w:space="0" w:color="000000"/>
            </w:tcBorders>
            <w:shd w:val="clear" w:color="auto" w:fill="92CDDC"/>
          </w:tcPr>
          <w:p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2</w:t>
            </w:r>
          </w:p>
        </w:tc>
        <w:tc>
          <w:tcPr>
            <w:tcW w:w="170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eastAsia="en-US" w:bidi="en-US"/>
              </w:rPr>
              <w:t>719 137,72</w:t>
            </w:r>
          </w:p>
        </w:tc>
        <w:tc>
          <w:tcPr>
            <w:tcW w:w="1842"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4A3AF3" w:rsidP="00814B49">
            <w:pPr>
              <w:spacing w:after="0" w:line="276" w:lineRule="auto"/>
              <w:jc w:val="center"/>
              <w:rPr>
                <w:rFonts w:ascii="Times New Roman" w:hAnsi="Times New Roman" w:cs="Times New Roman"/>
                <w:strike/>
                <w:lang w:val="en-US" w:eastAsia="en-US" w:bidi="en-US"/>
              </w:rPr>
            </w:pPr>
            <w:r w:rsidRPr="004A429A">
              <w:rPr>
                <w:rFonts w:ascii="Times New Roman" w:hAnsi="Times New Roman" w:cs="Times New Roman"/>
                <w:sz w:val="16"/>
                <w:szCs w:val="16"/>
                <w:lang w:val="en-US" w:eastAsia="en-US" w:bidi="en-US"/>
              </w:rPr>
              <w:t>133.144,16</w:t>
            </w:r>
          </w:p>
        </w:tc>
        <w:tc>
          <w:tcPr>
            <w:tcW w:w="709" w:type="dxa"/>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rsidR="00294BD0" w:rsidRPr="004A429A" w:rsidRDefault="004A3AF3"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497.249,69</w:t>
            </w:r>
          </w:p>
        </w:tc>
        <w:tc>
          <w:tcPr>
            <w:tcW w:w="851"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1 349 531,57</w:t>
            </w:r>
          </w:p>
        </w:tc>
        <w:tc>
          <w:tcPr>
            <w:tcW w:w="1134" w:type="dxa"/>
            <w:gridSpan w:val="2"/>
            <w:tcBorders>
              <w:top w:val="single" w:sz="4" w:space="0" w:color="000000"/>
              <w:left w:val="single" w:sz="4" w:space="0" w:color="000000"/>
              <w:bottom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rsidTr="005B7FFE">
        <w:tc>
          <w:tcPr>
            <w:tcW w:w="1384" w:type="dxa"/>
            <w:vMerge w:val="restart"/>
            <w:tcBorders>
              <w:top w:val="single" w:sz="4" w:space="0" w:color="000000"/>
              <w:left w:val="single" w:sz="4" w:space="0" w:color="000000"/>
              <w:bottom w:val="single" w:sz="4" w:space="0" w:color="000000"/>
            </w:tcBorders>
            <w:shd w:val="clear" w:color="auto" w:fill="FF944B"/>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8"/>
                <w:szCs w:val="18"/>
                <w:lang w:val="en-US" w:eastAsia="en-US" w:bidi="en-US"/>
              </w:rPr>
              <w:t>CEL OGÓLNY nr 3 Wzrost kapitału społecznego na obszarze LGD</w:t>
            </w:r>
          </w:p>
        </w:tc>
        <w:tc>
          <w:tcPr>
            <w:tcW w:w="1134" w:type="dxa"/>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w:t>
            </w:r>
            <w:r w:rsidR="004313AB">
              <w:rPr>
                <w:rFonts w:ascii="Times New Roman" w:hAnsi="Times New Roman" w:cs="Times New Roman"/>
                <w:b/>
                <w:sz w:val="16"/>
                <w:szCs w:val="16"/>
                <w:lang w:val="en-US" w:eastAsia="en-US" w:bidi="en-US"/>
              </w:rPr>
              <w:t>4</w:t>
            </w:r>
          </w:p>
        </w:tc>
        <w:tc>
          <w:tcPr>
            <w:tcW w:w="1985" w:type="dxa"/>
            <w:gridSpan w:val="4"/>
            <w:tcBorders>
              <w:top w:val="single" w:sz="4" w:space="0" w:color="000000"/>
              <w:left w:val="single" w:sz="4" w:space="0" w:color="000000"/>
              <w:bottom w:val="single" w:sz="4" w:space="0" w:color="000000"/>
            </w:tcBorders>
            <w:shd w:val="clear" w:color="auto" w:fill="FFFF00"/>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w:t>
            </w:r>
            <w:r w:rsidR="004313AB">
              <w:rPr>
                <w:rFonts w:ascii="Times New Roman" w:hAnsi="Times New Roman" w:cs="Times New Roman"/>
                <w:b/>
                <w:sz w:val="16"/>
                <w:szCs w:val="16"/>
                <w:lang w:val="en-US" w:eastAsia="en-US" w:bidi="en-US"/>
              </w:rPr>
              <w:t>4</w:t>
            </w:r>
          </w:p>
        </w:tc>
        <w:tc>
          <w:tcPr>
            <w:tcW w:w="1134" w:type="dxa"/>
            <w:gridSpan w:val="2"/>
            <w:vMerge w:val="restart"/>
            <w:tcBorders>
              <w:top w:val="single" w:sz="4" w:space="0" w:color="000000"/>
              <w:left w:val="single" w:sz="4" w:space="0" w:color="000000"/>
              <w:bottom w:val="single" w:sz="4" w:space="0" w:color="000000"/>
            </w:tcBorders>
            <w:shd w:val="clear" w:color="auto" w:fill="FE9786"/>
          </w:tcPr>
          <w:p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vMerge w:val="restart"/>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Poddziałanie/zakres Programu</w:t>
            </w:r>
          </w:p>
        </w:tc>
      </w:tr>
      <w:tr w:rsidR="00294BD0" w:rsidRPr="004A429A" w:rsidTr="005B7FFE">
        <w:tc>
          <w:tcPr>
            <w:tcW w:w="1384" w:type="dxa"/>
            <w:vMerge/>
            <w:tcBorders>
              <w:top w:val="single" w:sz="4" w:space="0" w:color="000000"/>
              <w:left w:val="single" w:sz="4" w:space="0" w:color="000000"/>
              <w:bottom w:val="single" w:sz="4" w:space="0" w:color="000000"/>
            </w:tcBorders>
            <w:shd w:val="clear" w:color="auto" w:fill="FF944B"/>
          </w:tcPr>
          <w:p w:rsidR="00294BD0" w:rsidRPr="004A429A" w:rsidRDefault="00294BD0">
            <w:pPr>
              <w:snapToGrid w:val="0"/>
              <w:spacing w:after="120" w:line="276" w:lineRule="auto"/>
              <w:rPr>
                <w:rFonts w:ascii="Times New Roman" w:hAnsi="Times New Roman" w:cs="Times New Roman"/>
                <w:b/>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850"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709"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567"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18" w:type="dxa"/>
            <w:gridSpan w:val="2"/>
            <w:tcBorders>
              <w:top w:val="single" w:sz="4" w:space="0" w:color="000000"/>
              <w:left w:val="single" w:sz="4" w:space="0" w:color="000000"/>
              <w:bottom w:val="single" w:sz="4" w:space="0" w:color="000000"/>
            </w:tcBorders>
            <w:shd w:val="clear" w:color="auto" w:fill="FFFFCC"/>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vMerge/>
            <w:tcBorders>
              <w:top w:val="single" w:sz="4" w:space="0" w:color="000000"/>
              <w:left w:val="single" w:sz="4" w:space="0" w:color="000000"/>
              <w:bottom w:val="single" w:sz="4" w:space="0" w:color="000000"/>
            </w:tcBorders>
            <w:shd w:val="clear" w:color="auto" w:fill="FE978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vMerge/>
            <w:tcBorders>
              <w:top w:val="single" w:sz="4" w:space="0" w:color="000000"/>
              <w:left w:val="single" w:sz="4" w:space="0" w:color="000000"/>
              <w:bottom w:val="single" w:sz="4" w:space="0" w:color="000000"/>
              <w:right w:val="single" w:sz="4" w:space="0" w:color="000000"/>
            </w:tcBorders>
            <w:shd w:val="clear" w:color="auto" w:fill="FE978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 xml:space="preserve">Cel szczegółowy 3.1 Rozwój kulturalny i turystyczny </w:t>
            </w:r>
            <w:r w:rsidR="00E90210" w:rsidRPr="004A429A">
              <w:rPr>
                <w:rFonts w:ascii="Times New Roman" w:hAnsi="Times New Roman" w:cs="Times New Roman"/>
                <w:b/>
                <w:sz w:val="18"/>
                <w:szCs w:val="18"/>
                <w:lang w:val="en-US" w:eastAsia="en-US" w:bidi="en-US"/>
              </w:rPr>
              <w:t>region</w:t>
            </w:r>
          </w:p>
        </w:tc>
        <w:tc>
          <w:tcPr>
            <w:tcW w:w="1134" w:type="dxa"/>
            <w:gridSpan w:val="2"/>
            <w:tcBorders>
              <w:top w:val="single" w:sz="4" w:space="0" w:color="000000"/>
              <w:left w:val="single" w:sz="4" w:space="0" w:color="000000"/>
              <w:bottom w:val="single" w:sz="4" w:space="0" w:color="000000"/>
            </w:tcBorders>
            <w:shd w:val="clear" w:color="auto" w:fill="FEC4BA"/>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rsidTr="005B7FFE">
        <w:trPr>
          <w:trHeight w:val="2796"/>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3.1.1  </w:t>
            </w:r>
            <w:r w:rsidRPr="004A429A">
              <w:rPr>
                <w:rFonts w:ascii="Times New Roman" w:hAnsi="Times New Roman" w:cs="Times New Roman"/>
                <w:sz w:val="16"/>
                <w:szCs w:val="16"/>
                <w:lang w:eastAsia="en-US" w:bidi="en-US"/>
              </w:rPr>
              <w:t>Zachowanie dziedzictwa kulturowego regionu</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wydarzeń/imprez promujących zachowania dziedzictwa obszaru LGD</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 szt.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11 260,83</w:t>
            </w:r>
          </w:p>
          <w:p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 szt.</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11 260,83</w:t>
            </w:r>
          </w:p>
          <w:p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 xml:space="preserve">19.2 Realizacja LSR – projekt grantowy </w:t>
            </w:r>
          </w:p>
        </w:tc>
      </w:tr>
      <w:tr w:rsidR="00294BD0" w:rsidRPr="004A429A" w:rsidTr="005B7FFE">
        <w:trPr>
          <w:trHeight w:val="1924"/>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3.1.2  Podniesienie poziomu wiedzy z zakresu możliwości aplikowania o środki na Projekty </w:t>
            </w:r>
            <w:r w:rsidRPr="004A429A">
              <w:rPr>
                <w:rFonts w:ascii="Times New Roman" w:hAnsi="Times New Roman" w:cs="Times New Roman"/>
                <w:sz w:val="16"/>
                <w:szCs w:val="16"/>
                <w:lang w:val="en-US" w:eastAsia="en-US" w:bidi="en-US"/>
              </w:rPr>
              <w:br/>
              <w:t>Grantowe</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godzin doradztwa udzielonego w ramach cyklu szkoleniowego</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20 godzin</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pacing w:after="120" w:line="276" w:lineRule="auto"/>
            </w:pPr>
            <w:r w:rsidRPr="004A429A">
              <w:rPr>
                <w:rFonts w:ascii="Times New Roman" w:hAnsi="Times New Roman" w:cs="Times New Roman"/>
                <w:sz w:val="16"/>
                <w:szCs w:val="16"/>
                <w:lang w:val="en-US" w:eastAsia="en-US" w:bidi="en-US"/>
              </w:rPr>
              <w:t>19.4 Koszty bieżące i Aktywizacja</w:t>
            </w:r>
          </w:p>
        </w:tc>
      </w:tr>
      <w:tr w:rsidR="00294BD0" w:rsidRPr="004A429A" w:rsidTr="005B7FFE">
        <w:trPr>
          <w:trHeight w:val="1924"/>
        </w:trPr>
        <w:tc>
          <w:tcPr>
            <w:tcW w:w="1384" w:type="dxa"/>
            <w:tcBorders>
              <w:top w:val="single" w:sz="4" w:space="0" w:color="000000"/>
              <w:left w:val="single" w:sz="4" w:space="0" w:color="000000"/>
              <w:bottom w:val="single" w:sz="4" w:space="0" w:color="000000"/>
            </w:tcBorders>
            <w:shd w:val="clear" w:color="auto" w:fill="FFD5B9"/>
            <w:textDirection w:val="btLr"/>
          </w:tcPr>
          <w:p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3.1.3  Rozwój ofert tury-stycznych w regionie</w:t>
            </w:r>
          </w:p>
        </w:tc>
        <w:tc>
          <w:tcPr>
            <w:tcW w:w="1134" w:type="dxa"/>
            <w:tcBorders>
              <w:top w:val="single" w:sz="4" w:space="0" w:color="000000"/>
              <w:left w:val="single" w:sz="4" w:space="0" w:color="000000"/>
              <w:bottom w:val="single" w:sz="4" w:space="0" w:color="000000"/>
            </w:tcBorders>
            <w:shd w:val="clear" w:color="auto" w:fill="auto"/>
          </w:tcPr>
          <w:p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zrealizowanych projektów współpracy</w:t>
            </w:r>
          </w:p>
        </w:tc>
        <w:tc>
          <w:tcPr>
            <w:tcW w:w="851"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294BD0" w:rsidRPr="004A429A" w:rsidRDefault="00945B35" w:rsidP="006870B4">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rsidR="00294BD0" w:rsidRPr="004A429A" w:rsidRDefault="00945B35" w:rsidP="00945B35">
            <w:pPr>
              <w:spacing w:after="120" w:line="276" w:lineRule="auto"/>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rsidR="00294BD0" w:rsidRPr="00676291" w:rsidRDefault="00945B35" w:rsidP="006870B4">
            <w:pPr>
              <w:spacing w:after="0" w:line="276" w:lineRule="auto"/>
              <w:jc w:val="center"/>
              <w:rPr>
                <w:rFonts w:ascii="Times New Roman" w:hAnsi="Times New Roman" w:cs="Times New Roman"/>
                <w:strike/>
                <w:sz w:val="16"/>
                <w:szCs w:val="16"/>
                <w:lang w:val="en-US" w:eastAsia="en-US" w:bidi="en-US"/>
              </w:rPr>
            </w:pPr>
            <w:r>
              <w:rPr>
                <w:rFonts w:ascii="Times New Roman" w:hAnsi="Times New Roman" w:cs="Times New Roman"/>
                <w:strike/>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rsidR="00294BD0" w:rsidRPr="004A429A" w:rsidRDefault="00945B35" w:rsidP="006870B4">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1szt.</w:t>
            </w:r>
          </w:p>
        </w:tc>
        <w:tc>
          <w:tcPr>
            <w:tcW w:w="1433" w:type="dxa"/>
            <w:gridSpan w:val="2"/>
            <w:tcBorders>
              <w:top w:val="single" w:sz="4" w:space="0" w:color="000000"/>
              <w:left w:val="single" w:sz="4" w:space="0" w:color="000000"/>
              <w:bottom w:val="single" w:sz="4" w:space="0" w:color="000000"/>
            </w:tcBorders>
            <w:shd w:val="clear" w:color="auto" w:fill="auto"/>
          </w:tcPr>
          <w:p w:rsidR="00294BD0" w:rsidRPr="004A429A" w:rsidRDefault="00945B35" w:rsidP="006870B4">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w:t>
            </w:r>
          </w:p>
        </w:tc>
        <w:tc>
          <w:tcPr>
            <w:tcW w:w="835" w:type="dxa"/>
            <w:tcBorders>
              <w:top w:val="single" w:sz="4" w:space="0" w:color="000000"/>
              <w:left w:val="single" w:sz="4" w:space="0" w:color="000000"/>
              <w:bottom w:val="single" w:sz="4" w:space="0" w:color="000000"/>
            </w:tcBorders>
            <w:shd w:val="clear" w:color="auto" w:fill="auto"/>
          </w:tcPr>
          <w:p w:rsidR="00294BD0" w:rsidRPr="00F600E6" w:rsidRDefault="00945B35" w:rsidP="006870B4">
            <w:pPr>
              <w:spacing w:after="120" w:line="276" w:lineRule="auto"/>
              <w:jc w:val="center"/>
              <w:rPr>
                <w:rFonts w:ascii="Times New Roman" w:hAnsi="Times New Roman" w:cs="Times New Roman"/>
                <w:sz w:val="16"/>
                <w:szCs w:val="16"/>
                <w:lang w:val="en-US" w:eastAsia="en-US" w:bidi="en-US"/>
              </w:rPr>
            </w:pPr>
            <w:r w:rsidRPr="00F600E6">
              <w:rPr>
                <w:rFonts w:ascii="Times New Roman" w:hAnsi="Times New Roman" w:cs="Times New Roman"/>
                <w:sz w:val="16"/>
                <w:szCs w:val="16"/>
                <w:lang w:val="en-US" w:eastAsia="en-US" w:bidi="en-US"/>
              </w:rPr>
              <w:t>156005,84*</w:t>
            </w:r>
          </w:p>
        </w:tc>
        <w:tc>
          <w:tcPr>
            <w:tcW w:w="567" w:type="dxa"/>
            <w:gridSpan w:val="2"/>
            <w:tcBorders>
              <w:top w:val="single" w:sz="4" w:space="0" w:color="000000"/>
              <w:left w:val="single" w:sz="4" w:space="0" w:color="000000"/>
              <w:bottom w:val="single" w:sz="4" w:space="0" w:color="000000"/>
            </w:tcBorders>
            <w:shd w:val="clear" w:color="auto" w:fill="auto"/>
          </w:tcPr>
          <w:p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1418" w:type="dxa"/>
            <w:gridSpan w:val="2"/>
            <w:tcBorders>
              <w:top w:val="single" w:sz="4" w:space="0" w:color="000000"/>
              <w:left w:val="single" w:sz="4" w:space="0" w:color="000000"/>
              <w:bottom w:val="single" w:sz="4" w:space="0" w:color="000000"/>
            </w:tcBorders>
            <w:shd w:val="clear" w:color="auto" w:fill="auto"/>
          </w:tcPr>
          <w:p w:rsidR="00294BD0" w:rsidRPr="00F600E6" w:rsidRDefault="00A21558" w:rsidP="006870B4">
            <w:pPr>
              <w:spacing w:after="120" w:line="276" w:lineRule="auto"/>
              <w:jc w:val="center"/>
              <w:rPr>
                <w:rFonts w:ascii="Times New Roman" w:hAnsi="Times New Roman" w:cs="Times New Roman"/>
                <w:sz w:val="16"/>
                <w:szCs w:val="16"/>
                <w:lang w:val="en-US" w:eastAsia="en-US" w:bidi="en-US"/>
              </w:rPr>
            </w:pPr>
            <w:bookmarkStart w:id="4" w:name="_Hlk86133413"/>
            <w:r w:rsidRPr="00F600E6">
              <w:rPr>
                <w:rFonts w:ascii="Times New Roman" w:hAnsi="Times New Roman" w:cs="Times New Roman"/>
                <w:sz w:val="16"/>
                <w:szCs w:val="16"/>
                <w:lang w:val="en-US" w:eastAsia="en-US" w:bidi="en-US"/>
              </w:rPr>
              <w:t>156005,84</w:t>
            </w:r>
            <w:r w:rsidR="00294BD0" w:rsidRPr="00F600E6">
              <w:rPr>
                <w:rFonts w:ascii="Times New Roman" w:hAnsi="Times New Roman" w:cs="Times New Roman"/>
                <w:sz w:val="16"/>
                <w:szCs w:val="16"/>
                <w:lang w:val="en-US" w:eastAsia="en-US" w:bidi="en-US"/>
              </w:rPr>
              <w:t>*</w:t>
            </w:r>
            <w:bookmarkEnd w:id="4"/>
          </w:p>
        </w:tc>
        <w:tc>
          <w:tcPr>
            <w:tcW w:w="1134" w:type="dxa"/>
            <w:gridSpan w:val="2"/>
            <w:tcBorders>
              <w:top w:val="single" w:sz="4" w:space="0" w:color="000000"/>
              <w:left w:val="single" w:sz="4" w:space="0" w:color="000000"/>
              <w:bottom w:val="single" w:sz="4" w:space="0" w:color="000000"/>
            </w:tcBorders>
            <w:shd w:val="clear" w:color="auto" w:fill="auto"/>
            <w:vAlign w:val="center"/>
          </w:tcPr>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294BD0" w:rsidRPr="004A429A" w:rsidRDefault="00294BD0">
            <w:pPr>
              <w:snapToGrid w:val="0"/>
              <w:spacing w:after="120" w:line="276" w:lineRule="auto"/>
              <w:jc w:val="center"/>
              <w:rPr>
                <w:rFonts w:ascii="Times New Roman" w:hAnsi="Times New Roman" w:cs="Times New Roman"/>
                <w:sz w:val="16"/>
                <w:szCs w:val="16"/>
                <w:lang w:val="en-US" w:eastAsia="en-US" w:bidi="en-US"/>
              </w:rPr>
            </w:pPr>
          </w:p>
          <w:p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19.3 projekt współpracy</w:t>
            </w:r>
          </w:p>
          <w:p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*(zgodnie z rozorządzeniem Ministra Rolnictwa i Rozwoju Wsi z dnia 15 lipca 2020 r. §7 ust. 1 limit pomocy dla LGD wynosi  10%)</w:t>
            </w:r>
          </w:p>
        </w:tc>
      </w:tr>
      <w:tr w:rsidR="001066CD" w:rsidRPr="004A429A"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rsidR="001066CD" w:rsidRPr="004A429A" w:rsidRDefault="001066CD" w:rsidP="001066CD">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3.1</w:t>
            </w:r>
          </w:p>
        </w:tc>
        <w:tc>
          <w:tcPr>
            <w:tcW w:w="1701"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11 260,83</w:t>
            </w:r>
          </w:p>
        </w:tc>
        <w:tc>
          <w:tcPr>
            <w:tcW w:w="1842"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1066CD" w:rsidRPr="00945B35" w:rsidRDefault="00945B35" w:rsidP="001066CD">
            <w:pPr>
              <w:spacing w:after="0" w:line="276" w:lineRule="auto"/>
              <w:jc w:val="center"/>
              <w:rPr>
                <w:rFonts w:ascii="Times New Roman" w:hAnsi="Times New Roman" w:cs="Times New Roman"/>
                <w:sz w:val="16"/>
                <w:szCs w:val="16"/>
                <w:lang w:val="en-US" w:eastAsia="en-US" w:bidi="en-US"/>
              </w:rPr>
            </w:pPr>
            <w:r w:rsidRPr="00945B35">
              <w:rPr>
                <w:rFonts w:ascii="Times New Roman" w:hAnsi="Times New Roman" w:cs="Times New Roman"/>
                <w:sz w:val="16"/>
                <w:szCs w:val="16"/>
                <w:lang w:val="en-US" w:eastAsia="en-US" w:bidi="en-US"/>
              </w:rPr>
              <w:t>0,00</w:t>
            </w:r>
          </w:p>
        </w:tc>
        <w:tc>
          <w:tcPr>
            <w:tcW w:w="2142" w:type="dxa"/>
            <w:gridSpan w:val="3"/>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1066CD" w:rsidRPr="004A429A" w:rsidRDefault="001066CD" w:rsidP="00945B35">
            <w:pPr>
              <w:spacing w:after="120" w:line="276" w:lineRule="auto"/>
              <w:rPr>
                <w:rFonts w:ascii="Times New Roman" w:hAnsi="Times New Roman" w:cs="Times New Roman"/>
                <w:sz w:val="16"/>
                <w:szCs w:val="16"/>
                <w:lang w:val="en-US" w:eastAsia="en-US" w:bidi="en-US"/>
              </w:rPr>
            </w:pPr>
            <w:r>
              <w:rPr>
                <w:rFonts w:ascii="Times New Roman" w:hAnsi="Times New Roman" w:cs="Times New Roman"/>
                <w:strike/>
                <w:sz w:val="16"/>
                <w:szCs w:val="16"/>
                <w:lang w:val="en-US" w:eastAsia="en-US" w:bidi="en-US"/>
              </w:rPr>
              <w:t xml:space="preserve"> </w:t>
            </w:r>
            <w:r w:rsidRPr="001066CD">
              <w:rPr>
                <w:rFonts w:ascii="Times New Roman" w:hAnsi="Times New Roman" w:cs="Times New Roman"/>
                <w:sz w:val="16"/>
                <w:szCs w:val="16"/>
                <w:lang w:val="en-US" w:eastAsia="en-US" w:bidi="en-US"/>
              </w:rPr>
              <w:t>156005,84</w:t>
            </w:r>
          </w:p>
        </w:tc>
        <w:tc>
          <w:tcPr>
            <w:tcW w:w="567"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18" w:type="dxa"/>
            <w:gridSpan w:val="2"/>
            <w:tcBorders>
              <w:top w:val="single" w:sz="4" w:space="0" w:color="000000"/>
              <w:left w:val="single" w:sz="4" w:space="0" w:color="000000"/>
              <w:bottom w:val="single" w:sz="4" w:space="0" w:color="000000"/>
            </w:tcBorders>
            <w:shd w:val="clear" w:color="auto" w:fill="auto"/>
          </w:tcPr>
          <w:p w:rsidR="001066CD" w:rsidRPr="00F600E6" w:rsidRDefault="001066CD" w:rsidP="00945B35">
            <w:pPr>
              <w:spacing w:after="0" w:line="276" w:lineRule="auto"/>
              <w:rPr>
                <w:rFonts w:ascii="Times New Roman" w:hAnsi="Times New Roman" w:cs="Times New Roman"/>
                <w:sz w:val="16"/>
                <w:szCs w:val="16"/>
                <w:lang w:val="en-US" w:eastAsia="en-US" w:bidi="en-US"/>
              </w:rPr>
            </w:pPr>
            <w:r w:rsidRPr="00F600E6">
              <w:rPr>
                <w:rFonts w:ascii="Times New Roman" w:hAnsi="Times New Roman" w:cs="Times New Roman"/>
                <w:sz w:val="16"/>
                <w:szCs w:val="16"/>
                <w:lang w:val="en-US" w:eastAsia="en-US" w:bidi="en-US"/>
              </w:rPr>
              <w:t>167266,67</w:t>
            </w:r>
          </w:p>
        </w:tc>
        <w:tc>
          <w:tcPr>
            <w:tcW w:w="1134"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sz w:val="16"/>
                <w:szCs w:val="16"/>
                <w:lang w:val="en-US" w:eastAsia="en-US" w:bidi="en-US"/>
              </w:rPr>
            </w:pPr>
          </w:p>
        </w:tc>
      </w:tr>
      <w:tr w:rsidR="001066CD" w:rsidRPr="004A429A"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rsidR="001066CD" w:rsidRPr="004A429A" w:rsidRDefault="001066CD" w:rsidP="001066CD">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3.2 Zwiększenie zaangażowania i współpracy mieszkańców</w:t>
            </w:r>
          </w:p>
        </w:tc>
        <w:tc>
          <w:tcPr>
            <w:tcW w:w="1134" w:type="dxa"/>
            <w:gridSpan w:val="2"/>
            <w:tcBorders>
              <w:top w:val="single" w:sz="4" w:space="0" w:color="000000"/>
              <w:left w:val="single" w:sz="4" w:space="0" w:color="000000"/>
              <w:bottom w:val="single" w:sz="4" w:space="0" w:color="000000"/>
            </w:tcBorders>
            <w:shd w:val="clear" w:color="auto" w:fill="B6DDE8"/>
          </w:tcPr>
          <w:p w:rsidR="001066CD" w:rsidRPr="004A429A" w:rsidRDefault="001066CD" w:rsidP="001066CD">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rsidR="001066CD" w:rsidRPr="004A429A" w:rsidRDefault="001066CD" w:rsidP="001066CD">
            <w:pPr>
              <w:snapToGrid w:val="0"/>
              <w:spacing w:after="120" w:line="276" w:lineRule="auto"/>
              <w:rPr>
                <w:rFonts w:ascii="Times New Roman" w:hAnsi="Times New Roman" w:cs="Times New Roman"/>
                <w:sz w:val="16"/>
                <w:szCs w:val="16"/>
                <w:lang w:val="en-US" w:eastAsia="en-US" w:bidi="en-US"/>
              </w:rPr>
            </w:pPr>
          </w:p>
        </w:tc>
      </w:tr>
      <w:tr w:rsidR="001066CD" w:rsidRPr="004A429A" w:rsidTr="005B7FFE">
        <w:trPr>
          <w:trHeight w:val="1532"/>
        </w:trPr>
        <w:tc>
          <w:tcPr>
            <w:tcW w:w="1384" w:type="dxa"/>
            <w:tcBorders>
              <w:top w:val="single" w:sz="4" w:space="0" w:color="000000"/>
              <w:left w:val="single" w:sz="4" w:space="0" w:color="000000"/>
              <w:bottom w:val="single" w:sz="4" w:space="0" w:color="000000"/>
            </w:tcBorders>
            <w:shd w:val="clear" w:color="auto" w:fill="DAEEF3"/>
            <w:textDirection w:val="btLr"/>
          </w:tcPr>
          <w:p w:rsidR="001066CD" w:rsidRPr="004A429A" w:rsidRDefault="001066CD" w:rsidP="001066CD">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3.2.1 Działania wzmacniające aktywność lokalnej społeczności</w:t>
            </w:r>
          </w:p>
        </w:tc>
        <w:tc>
          <w:tcPr>
            <w:tcW w:w="1134"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 xml:space="preserve"> wybudowanych obiektów ogólnodostępnej i niekomercyjnej infrastruktury turystycznej, rekreacyjnej lub kulturalnej</w:t>
            </w:r>
          </w:p>
        </w:tc>
        <w:tc>
          <w:tcPr>
            <w:tcW w:w="851"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 szt</w:t>
            </w:r>
          </w:p>
        </w:tc>
        <w:tc>
          <w:tcPr>
            <w:tcW w:w="850"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73,33%</w:t>
            </w:r>
          </w:p>
        </w:tc>
        <w:tc>
          <w:tcPr>
            <w:tcW w:w="1418"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46 880,4</w:t>
            </w:r>
          </w:p>
        </w:tc>
        <w:tc>
          <w:tcPr>
            <w:tcW w:w="850"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992"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1066CD" w:rsidRPr="00FC784D" w:rsidRDefault="001066CD" w:rsidP="001066CD">
            <w:pPr>
              <w:spacing w:after="0" w:line="276" w:lineRule="auto"/>
              <w:jc w:val="center"/>
              <w:rPr>
                <w:rFonts w:ascii="Times New Roman" w:hAnsi="Times New Roman" w:cs="Times New Roman"/>
                <w:strike/>
                <w:sz w:val="16"/>
                <w:szCs w:val="16"/>
                <w:lang w:val="en-US" w:eastAsia="en-US" w:bidi="en-US"/>
              </w:rPr>
            </w:pPr>
            <w:r w:rsidRPr="00FC784D">
              <w:rPr>
                <w:rFonts w:ascii="Times New Roman" w:hAnsi="Times New Roman" w:cs="Times New Roman"/>
                <w:strike/>
                <w:sz w:val="16"/>
                <w:szCs w:val="16"/>
                <w:lang w:val="en-US" w:eastAsia="en-US" w:bidi="en-US"/>
              </w:rPr>
              <w:t>29 000,00</w:t>
            </w:r>
            <w:r w:rsidR="00FC784D">
              <w:rPr>
                <w:rFonts w:ascii="Times New Roman" w:hAnsi="Times New Roman" w:cs="Times New Roman"/>
                <w:strike/>
                <w:sz w:val="16"/>
                <w:szCs w:val="16"/>
                <w:lang w:val="en-US" w:eastAsia="en-US" w:bidi="en-US"/>
              </w:rPr>
              <w:t xml:space="preserve"> </w:t>
            </w:r>
            <w:r w:rsidR="00FC784D" w:rsidRPr="00FC784D">
              <w:rPr>
                <w:rFonts w:ascii="Times New Roman" w:hAnsi="Times New Roman" w:cs="Times New Roman"/>
                <w:color w:val="FF0000"/>
                <w:sz w:val="16"/>
                <w:szCs w:val="16"/>
                <w:lang w:val="en-US" w:eastAsia="en-US" w:bidi="en-US"/>
              </w:rPr>
              <w:t>25878,93</w:t>
            </w:r>
          </w:p>
        </w:tc>
        <w:tc>
          <w:tcPr>
            <w:tcW w:w="709"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15 szt.</w:t>
            </w:r>
          </w:p>
        </w:tc>
        <w:tc>
          <w:tcPr>
            <w:tcW w:w="1418"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75</w:t>
            </w:r>
            <w:r>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880,40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1066CD" w:rsidRPr="004A429A" w:rsidRDefault="001066CD" w:rsidP="001066CD">
            <w:pPr>
              <w:spacing w:after="120" w:line="276" w:lineRule="auto"/>
            </w:pPr>
            <w:r w:rsidRPr="004A429A">
              <w:rPr>
                <w:rFonts w:ascii="Times New Roman" w:hAnsi="Times New Roman" w:cs="Times New Roman"/>
                <w:sz w:val="16"/>
                <w:szCs w:val="16"/>
                <w:lang w:val="en-US" w:eastAsia="en-US" w:bidi="en-US"/>
              </w:rPr>
              <w:t>19.2 Realizacja LSR – projekt grantowy</w:t>
            </w:r>
          </w:p>
        </w:tc>
      </w:tr>
      <w:tr w:rsidR="001066CD" w:rsidRPr="004A429A" w:rsidTr="005B7FFE">
        <w:trPr>
          <w:trHeight w:val="986"/>
        </w:trPr>
        <w:tc>
          <w:tcPr>
            <w:tcW w:w="1384" w:type="dxa"/>
            <w:tcBorders>
              <w:top w:val="single" w:sz="4" w:space="0" w:color="000000"/>
              <w:left w:val="single" w:sz="4" w:space="0" w:color="000000"/>
              <w:bottom w:val="single" w:sz="4" w:space="0" w:color="000000"/>
            </w:tcBorders>
            <w:shd w:val="clear" w:color="auto" w:fill="DAEEF3"/>
            <w:textDirection w:val="btLr"/>
          </w:tcPr>
          <w:p w:rsidR="001066CD" w:rsidRPr="004A429A" w:rsidRDefault="001066CD" w:rsidP="001066CD">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3.2.2 </w:t>
            </w:r>
            <w:r w:rsidRPr="004A429A">
              <w:rPr>
                <w:rFonts w:ascii="Times New Roman" w:hAnsi="Times New Roman" w:cs="Times New Roman"/>
                <w:sz w:val="16"/>
                <w:szCs w:val="16"/>
                <w:lang w:eastAsia="en-US" w:bidi="en-US"/>
              </w:rPr>
              <w:t>Wzmocnienie potencjału organizacji pozarządowych</w:t>
            </w:r>
          </w:p>
        </w:tc>
        <w:tc>
          <w:tcPr>
            <w:tcW w:w="1134"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Liczba wydarzeń zorganizowanych przez organizacje pozarządowe</w:t>
            </w:r>
          </w:p>
        </w:tc>
        <w:tc>
          <w:tcPr>
            <w:tcW w:w="851"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 szt</w:t>
            </w:r>
          </w:p>
        </w:tc>
        <w:tc>
          <w:tcPr>
            <w:tcW w:w="992"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rsidR="001066CD" w:rsidRPr="00FC784D" w:rsidRDefault="001066CD" w:rsidP="001066CD">
            <w:pPr>
              <w:spacing w:after="0" w:line="276" w:lineRule="auto"/>
              <w:jc w:val="center"/>
              <w:rPr>
                <w:rFonts w:ascii="Times New Roman" w:hAnsi="Times New Roman" w:cs="Times New Roman"/>
                <w:b/>
                <w:strike/>
                <w:sz w:val="16"/>
                <w:szCs w:val="16"/>
                <w:lang w:val="en-US" w:eastAsia="en-US" w:bidi="en-US"/>
              </w:rPr>
            </w:pPr>
            <w:r w:rsidRPr="00FC784D">
              <w:rPr>
                <w:rFonts w:ascii="Times New Roman" w:hAnsi="Times New Roman" w:cs="Times New Roman"/>
                <w:strike/>
                <w:sz w:val="16"/>
                <w:szCs w:val="16"/>
                <w:lang w:val="en-US" w:eastAsia="en-US" w:bidi="en-US"/>
              </w:rPr>
              <w:t>17 096,78</w:t>
            </w:r>
          </w:p>
          <w:p w:rsidR="001066CD" w:rsidRPr="0091606E" w:rsidRDefault="0091606E" w:rsidP="001066CD">
            <w:pPr>
              <w:spacing w:after="0" w:line="276" w:lineRule="auto"/>
              <w:jc w:val="center"/>
              <w:rPr>
                <w:rFonts w:ascii="Times New Roman" w:hAnsi="Times New Roman" w:cs="Times New Roman"/>
                <w:bCs/>
                <w:color w:val="FF0000"/>
                <w:sz w:val="16"/>
                <w:szCs w:val="16"/>
                <w:lang w:val="en-US" w:eastAsia="en-US" w:bidi="en-US"/>
              </w:rPr>
            </w:pPr>
            <w:r w:rsidRPr="0091606E">
              <w:rPr>
                <w:rFonts w:ascii="Times New Roman" w:hAnsi="Times New Roman" w:cs="Times New Roman"/>
                <w:bCs/>
                <w:color w:val="FF0000"/>
                <w:sz w:val="16"/>
                <w:szCs w:val="16"/>
                <w:lang w:val="en-US" w:eastAsia="en-US" w:bidi="en-US"/>
              </w:rPr>
              <w:t>16675,51</w:t>
            </w:r>
            <w:r>
              <w:rPr>
                <w:rFonts w:ascii="Times New Roman" w:hAnsi="Times New Roman" w:cs="Times New Roman"/>
                <w:bCs/>
                <w:color w:val="FF0000"/>
                <w:sz w:val="16"/>
                <w:szCs w:val="16"/>
                <w:lang w:val="en-US" w:eastAsia="en-US" w:bidi="en-US"/>
              </w:rPr>
              <w:t>+13,14</w:t>
            </w:r>
          </w:p>
        </w:tc>
        <w:tc>
          <w:tcPr>
            <w:tcW w:w="709"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 szt.</w:t>
            </w:r>
          </w:p>
        </w:tc>
        <w:tc>
          <w:tcPr>
            <w:tcW w:w="1418" w:type="dxa"/>
            <w:gridSpan w:val="2"/>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17 096,78</w:t>
            </w:r>
          </w:p>
          <w:p w:rsidR="001066CD" w:rsidRPr="004A429A" w:rsidRDefault="001066CD" w:rsidP="001066CD">
            <w:pPr>
              <w:spacing w:after="120" w:line="276" w:lineRule="auto"/>
              <w:jc w:val="center"/>
              <w:rPr>
                <w:rFonts w:ascii="Times New Roman" w:hAnsi="Times New Roman" w:cs="Times New Roman"/>
                <w:strike/>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1066CD" w:rsidRPr="004A429A" w:rsidRDefault="001066CD" w:rsidP="001066CD">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rsidR="001066CD" w:rsidRPr="004A429A" w:rsidRDefault="001066CD" w:rsidP="001066CD">
            <w:pPr>
              <w:spacing w:after="120" w:line="276" w:lineRule="auto"/>
            </w:pPr>
            <w:r w:rsidRPr="004A429A">
              <w:rPr>
                <w:rFonts w:ascii="Times New Roman" w:hAnsi="Times New Roman" w:cs="Times New Roman"/>
                <w:sz w:val="16"/>
                <w:szCs w:val="16"/>
                <w:lang w:val="en-US" w:eastAsia="en-US" w:bidi="en-US"/>
              </w:rPr>
              <w:t>19.2 Realizacja LSR- projekt grantowy</w:t>
            </w:r>
          </w:p>
        </w:tc>
      </w:tr>
      <w:tr w:rsidR="001066CD" w:rsidRPr="004A429A" w:rsidTr="005B7FFE">
        <w:tc>
          <w:tcPr>
            <w:tcW w:w="2518" w:type="dxa"/>
            <w:gridSpan w:val="2"/>
            <w:tcBorders>
              <w:top w:val="single" w:sz="4" w:space="0" w:color="000000"/>
              <w:left w:val="single" w:sz="4" w:space="0" w:color="000000"/>
              <w:bottom w:val="single" w:sz="4" w:space="0" w:color="000000"/>
            </w:tcBorders>
            <w:shd w:val="clear" w:color="auto" w:fill="FFFFCC"/>
          </w:tcPr>
          <w:p w:rsidR="001066CD" w:rsidRPr="004A429A" w:rsidRDefault="001066CD" w:rsidP="001066CD">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3.2</w:t>
            </w:r>
          </w:p>
        </w:tc>
        <w:tc>
          <w:tcPr>
            <w:tcW w:w="1701"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46 880,4</w:t>
            </w:r>
          </w:p>
        </w:tc>
        <w:tc>
          <w:tcPr>
            <w:tcW w:w="1842"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1066CD" w:rsidRPr="00870C03" w:rsidRDefault="001066CD" w:rsidP="001066CD">
            <w:pPr>
              <w:spacing w:after="0" w:line="276" w:lineRule="auto"/>
              <w:jc w:val="center"/>
              <w:rPr>
                <w:rFonts w:ascii="Times New Roman" w:hAnsi="Times New Roman" w:cs="Times New Roman"/>
                <w:b/>
                <w:strike/>
                <w:sz w:val="16"/>
                <w:szCs w:val="16"/>
                <w:lang w:val="en-US" w:eastAsia="en-US" w:bidi="en-US"/>
              </w:rPr>
            </w:pPr>
            <w:r w:rsidRPr="00870C03">
              <w:rPr>
                <w:rFonts w:ascii="Times New Roman" w:hAnsi="Times New Roman" w:cs="Times New Roman"/>
                <w:strike/>
                <w:sz w:val="16"/>
                <w:szCs w:val="16"/>
                <w:lang w:val="en-US" w:eastAsia="en-US" w:bidi="en-US"/>
              </w:rPr>
              <w:t>46.096,78</w:t>
            </w:r>
          </w:p>
          <w:p w:rsidR="001066CD" w:rsidRPr="00870C03" w:rsidRDefault="00870C03" w:rsidP="001066CD">
            <w:pPr>
              <w:spacing w:after="0" w:line="276" w:lineRule="auto"/>
              <w:jc w:val="center"/>
              <w:rPr>
                <w:rFonts w:ascii="Times New Roman" w:hAnsi="Times New Roman" w:cs="Times New Roman"/>
                <w:b/>
                <w:color w:val="FF0000"/>
                <w:sz w:val="16"/>
                <w:szCs w:val="16"/>
                <w:lang w:val="en-US" w:eastAsia="en-US" w:bidi="en-US"/>
              </w:rPr>
            </w:pPr>
            <w:r w:rsidRPr="00870C03">
              <w:rPr>
                <w:rFonts w:ascii="Times New Roman" w:eastAsia="Times New Roman" w:hAnsi="Times New Roman" w:cs="Times New Roman"/>
                <w:color w:val="FF0000"/>
                <w:sz w:val="16"/>
                <w:szCs w:val="16"/>
                <w:lang w:eastAsia="en-US" w:bidi="en-US"/>
              </w:rPr>
              <w:t>42567,58</w:t>
            </w:r>
          </w:p>
        </w:tc>
        <w:tc>
          <w:tcPr>
            <w:tcW w:w="2142" w:type="dxa"/>
            <w:gridSpan w:val="3"/>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1066CD" w:rsidRPr="006870B4" w:rsidRDefault="001066CD" w:rsidP="001066CD">
            <w:pPr>
              <w:spacing w:after="120" w:line="276" w:lineRule="auto"/>
              <w:jc w:val="center"/>
              <w:rPr>
                <w:rFonts w:ascii="Times New Roman" w:hAnsi="Times New Roman" w:cs="Times New Roman"/>
                <w:sz w:val="16"/>
                <w:szCs w:val="16"/>
                <w:lang w:val="en-US" w:eastAsia="en-US" w:bidi="en-US"/>
              </w:rPr>
            </w:pPr>
            <w:r w:rsidRPr="006870B4">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1066CD" w:rsidRPr="00870C03" w:rsidRDefault="001066CD" w:rsidP="001066CD">
            <w:pPr>
              <w:spacing w:after="0" w:line="276" w:lineRule="auto"/>
              <w:jc w:val="center"/>
              <w:rPr>
                <w:rFonts w:ascii="Times New Roman" w:hAnsi="Times New Roman" w:cs="Times New Roman"/>
                <w:b/>
                <w:strike/>
                <w:sz w:val="16"/>
                <w:szCs w:val="16"/>
                <w:lang w:val="en-US" w:eastAsia="en-US" w:bidi="en-US"/>
              </w:rPr>
            </w:pPr>
            <w:r w:rsidRPr="00870C03">
              <w:rPr>
                <w:rFonts w:ascii="Times New Roman" w:hAnsi="Times New Roman" w:cs="Times New Roman"/>
                <w:strike/>
                <w:sz w:val="16"/>
                <w:szCs w:val="16"/>
                <w:lang w:val="en-US" w:eastAsia="en-US" w:bidi="en-US"/>
              </w:rPr>
              <w:t>92.977,18</w:t>
            </w:r>
          </w:p>
          <w:p w:rsidR="001066CD" w:rsidRPr="00870C03" w:rsidRDefault="00870C03" w:rsidP="001066CD">
            <w:pPr>
              <w:spacing w:after="0" w:line="276" w:lineRule="auto"/>
              <w:jc w:val="center"/>
              <w:rPr>
                <w:rFonts w:ascii="Times New Roman" w:hAnsi="Times New Roman" w:cs="Times New Roman"/>
                <w:b/>
                <w:sz w:val="16"/>
                <w:szCs w:val="16"/>
                <w:lang w:val="en-US" w:eastAsia="en-US" w:bidi="en-US"/>
              </w:rPr>
            </w:pPr>
            <w:r w:rsidRPr="00870C03">
              <w:rPr>
                <w:rFonts w:ascii="Times New Roman" w:eastAsia="Times New Roman" w:hAnsi="Times New Roman" w:cs="Times New Roman"/>
                <w:color w:val="FF0000"/>
                <w:sz w:val="16"/>
                <w:szCs w:val="16"/>
                <w:lang w:eastAsia="en-US" w:bidi="en-US"/>
              </w:rPr>
              <w:t>89447,98</w:t>
            </w:r>
          </w:p>
        </w:tc>
        <w:tc>
          <w:tcPr>
            <w:tcW w:w="1134"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r>
      <w:tr w:rsidR="001066CD" w:rsidRPr="004A429A" w:rsidTr="005B7FFE">
        <w:tc>
          <w:tcPr>
            <w:tcW w:w="2518" w:type="dxa"/>
            <w:gridSpan w:val="2"/>
            <w:tcBorders>
              <w:top w:val="single" w:sz="4" w:space="0" w:color="000000"/>
              <w:left w:val="single" w:sz="4" w:space="0" w:color="000000"/>
              <w:bottom w:val="single" w:sz="4" w:space="0" w:color="000000"/>
            </w:tcBorders>
            <w:shd w:val="clear" w:color="auto" w:fill="92CDDC"/>
          </w:tcPr>
          <w:p w:rsidR="001066CD" w:rsidRPr="004A429A" w:rsidRDefault="001066CD" w:rsidP="001066CD">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3</w:t>
            </w:r>
          </w:p>
        </w:tc>
        <w:tc>
          <w:tcPr>
            <w:tcW w:w="1701"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1066CD" w:rsidRPr="004A429A" w:rsidRDefault="001066CD" w:rsidP="001066CD">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58 141,23</w:t>
            </w:r>
          </w:p>
        </w:tc>
        <w:tc>
          <w:tcPr>
            <w:tcW w:w="1842"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1066CD" w:rsidRPr="00945B35" w:rsidRDefault="00945B35" w:rsidP="001066CD">
            <w:pPr>
              <w:spacing w:after="0" w:line="276" w:lineRule="auto"/>
              <w:jc w:val="center"/>
              <w:rPr>
                <w:rFonts w:ascii="Times New Roman" w:hAnsi="Times New Roman" w:cs="Times New Roman"/>
                <w:sz w:val="20"/>
                <w:szCs w:val="20"/>
                <w:lang w:val="en-US" w:eastAsia="en-US" w:bidi="en-US"/>
              </w:rPr>
            </w:pPr>
            <w:r w:rsidRPr="00945B35">
              <w:rPr>
                <w:rFonts w:ascii="Times New Roman" w:hAnsi="Times New Roman" w:cs="Times New Roman"/>
                <w:sz w:val="20"/>
                <w:szCs w:val="20"/>
                <w:lang w:val="en-US" w:eastAsia="en-US" w:bidi="en-US"/>
              </w:rPr>
              <w:t>46096,78</w:t>
            </w:r>
          </w:p>
        </w:tc>
        <w:tc>
          <w:tcPr>
            <w:tcW w:w="2142" w:type="dxa"/>
            <w:gridSpan w:val="3"/>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rsidR="001066CD" w:rsidRPr="00F600E6" w:rsidRDefault="00945B35" w:rsidP="001066CD">
            <w:pPr>
              <w:spacing w:after="120" w:line="276" w:lineRule="auto"/>
              <w:jc w:val="center"/>
              <w:rPr>
                <w:rFonts w:ascii="Times New Roman" w:hAnsi="Times New Roman" w:cs="Times New Roman"/>
                <w:lang w:val="en-US" w:eastAsia="en-US" w:bidi="en-US"/>
              </w:rPr>
            </w:pPr>
            <w:r w:rsidRPr="00F600E6">
              <w:rPr>
                <w:rFonts w:ascii="Times New Roman" w:hAnsi="Times New Roman" w:cs="Times New Roman"/>
                <w:sz w:val="16"/>
                <w:szCs w:val="16"/>
                <w:lang w:val="en-US" w:eastAsia="en-US" w:bidi="en-US"/>
              </w:rPr>
              <w:t>156005,84*</w:t>
            </w:r>
          </w:p>
        </w:tc>
        <w:tc>
          <w:tcPr>
            <w:tcW w:w="567"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rsidR="001066CD" w:rsidRPr="00F600E6" w:rsidRDefault="001066CD" w:rsidP="001066CD">
            <w:pPr>
              <w:spacing w:after="0" w:line="276" w:lineRule="auto"/>
              <w:jc w:val="center"/>
              <w:rPr>
                <w:rFonts w:ascii="Times New Roman" w:hAnsi="Times New Roman" w:cs="Times New Roman"/>
                <w:b/>
                <w:sz w:val="16"/>
                <w:szCs w:val="16"/>
                <w:lang w:val="en-US" w:eastAsia="en-US" w:bidi="en-US"/>
              </w:rPr>
            </w:pPr>
            <w:r w:rsidRPr="00F600E6">
              <w:rPr>
                <w:rFonts w:ascii="Times New Roman" w:hAnsi="Times New Roman" w:cs="Times New Roman"/>
                <w:sz w:val="16"/>
                <w:szCs w:val="16"/>
                <w:lang w:val="en-US" w:eastAsia="en-US" w:bidi="en-US"/>
              </w:rPr>
              <w:t>260243,85</w:t>
            </w:r>
          </w:p>
          <w:p w:rsidR="001066CD" w:rsidRPr="004A429A" w:rsidRDefault="001066CD" w:rsidP="001066CD">
            <w:pPr>
              <w:spacing w:after="0" w:line="276" w:lineRule="auto"/>
              <w:jc w:val="center"/>
              <w:rPr>
                <w:rFonts w:ascii="Times New Roman" w:hAnsi="Times New Roman" w:cs="Times New Roman"/>
                <w:b/>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rsidR="001066CD" w:rsidRPr="004A429A" w:rsidRDefault="001066CD" w:rsidP="001066CD">
            <w:pPr>
              <w:snapToGrid w:val="0"/>
              <w:spacing w:after="120" w:line="276" w:lineRule="auto"/>
              <w:rPr>
                <w:rFonts w:ascii="Times New Roman" w:hAnsi="Times New Roman" w:cs="Times New Roman"/>
                <w:lang w:val="en-US" w:eastAsia="en-US" w:bidi="en-US"/>
              </w:rPr>
            </w:pPr>
          </w:p>
        </w:tc>
      </w:tr>
    </w:tbl>
    <w:p w:rsidR="00294BD0" w:rsidRPr="004A429A" w:rsidRDefault="00294BD0">
      <w:pPr>
        <w:spacing w:after="0"/>
        <w:rPr>
          <w:vanish/>
        </w:rPr>
      </w:pPr>
    </w:p>
    <w:p w:rsidR="00294BD0" w:rsidRPr="004A429A" w:rsidRDefault="00294BD0">
      <w:pPr>
        <w:spacing w:after="0" w:line="240" w:lineRule="auto"/>
        <w:rPr>
          <w:rFonts w:ascii="Times New Roman" w:eastAsia="Times New Roman" w:hAnsi="Times New Roman" w:cs="Times New Roman"/>
          <w:sz w:val="20"/>
          <w:szCs w:val="20"/>
        </w:rPr>
      </w:pPr>
    </w:p>
    <w:p w:rsidR="00294BD0" w:rsidRPr="004A429A" w:rsidRDefault="00EA57E7">
      <w:pPr>
        <w:spacing w:after="0" w:line="240" w:lineRule="auto"/>
        <w:rPr>
          <w:rFonts w:ascii="Times New Roman" w:eastAsia="Times New Roman" w:hAnsi="Times New Roman" w:cs="Times New Roman"/>
          <w:sz w:val="20"/>
          <w:szCs w:val="20"/>
        </w:rPr>
      </w:pPr>
      <w:r w:rsidRPr="004A429A">
        <w:rPr>
          <w:noProof/>
        </w:rPr>
        <mc:AlternateContent>
          <mc:Choice Requires="wps">
            <w:drawing>
              <wp:anchor distT="0" distB="0" distL="0" distR="89535" simplePos="0" relativeHeight="251654144" behindDoc="0" locked="0" layoutInCell="1" allowOverlap="1">
                <wp:simplePos x="0" y="0"/>
                <wp:positionH relativeFrom="margin">
                  <wp:posOffset>-40640</wp:posOffset>
                </wp:positionH>
                <wp:positionV relativeFrom="paragraph">
                  <wp:posOffset>280670</wp:posOffset>
                </wp:positionV>
                <wp:extent cx="10123170" cy="967105"/>
                <wp:effectExtent l="6985" t="4445" r="444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3170" cy="967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18"/>
                              <w:gridCol w:w="1559"/>
                              <w:gridCol w:w="1560"/>
                              <w:gridCol w:w="1842"/>
                              <w:gridCol w:w="1134"/>
                              <w:gridCol w:w="1560"/>
                              <w:gridCol w:w="1417"/>
                              <w:gridCol w:w="567"/>
                              <w:gridCol w:w="1418"/>
                              <w:gridCol w:w="1134"/>
                              <w:gridCol w:w="1305"/>
                            </w:tblGrid>
                            <w:tr w:rsidR="00294BD0">
                              <w:tc>
                                <w:tcPr>
                                  <w:tcW w:w="2518" w:type="dxa"/>
                                  <w:tcBorders>
                                    <w:top w:val="single" w:sz="4" w:space="0" w:color="000000"/>
                                    <w:left w:val="single" w:sz="4" w:space="0" w:color="000000"/>
                                    <w:bottom w:val="single" w:sz="4" w:space="0" w:color="000000"/>
                                  </w:tcBorders>
                                  <w:shd w:val="clear" w:color="auto" w:fill="31849B"/>
                                </w:tcPr>
                                <w:p w:rsidR="00294BD0" w:rsidRDefault="00294BD0">
                                  <w:pPr>
                                    <w:spacing w:after="120" w:line="276" w:lineRule="auto"/>
                                    <w:rPr>
                                      <w:rFonts w:ascii="Times New Roman" w:hAnsi="Times New Roman" w:cs="Times New Roman"/>
                                      <w:color w:val="000000"/>
                                      <w:lang w:val="en-US" w:eastAsia="en-US" w:bidi="en-US"/>
                                    </w:rPr>
                                  </w:pPr>
                                  <w:r>
                                    <w:rPr>
                                      <w:rFonts w:ascii="Times New Roman" w:hAnsi="Times New Roman" w:cs="Times New Roman"/>
                                      <w:color w:val="000000"/>
                                      <w:sz w:val="16"/>
                                      <w:szCs w:val="16"/>
                                      <w:lang w:val="en-US" w:eastAsia="en-US" w:bidi="en-US"/>
                                    </w:rPr>
                                    <w:t>Razem LSR</w:t>
                                  </w:r>
                                </w:p>
                              </w:tc>
                              <w:tc>
                                <w:tcPr>
                                  <w:tcW w:w="1559" w:type="dxa"/>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000000"/>
                                      <w:lang w:val="en-US" w:eastAsia="en-US" w:bidi="en-US"/>
                                    </w:rPr>
                                  </w:pPr>
                                </w:p>
                              </w:tc>
                              <w:tc>
                                <w:tcPr>
                                  <w:tcW w:w="1560" w:type="dxa"/>
                                  <w:tcBorders>
                                    <w:top w:val="single" w:sz="4" w:space="0" w:color="000000"/>
                                    <w:left w:val="single" w:sz="4" w:space="0" w:color="000000"/>
                                    <w:bottom w:val="single" w:sz="4" w:space="0" w:color="000000"/>
                                  </w:tcBorders>
                                  <w:shd w:val="clear" w:color="auto" w:fill="auto"/>
                                </w:tcPr>
                                <w:p w:rsidR="00294BD0" w:rsidRPr="00F55555" w:rsidRDefault="00F55555" w:rsidP="006870B4">
                                  <w:pPr>
                                    <w:spacing w:after="0" w:line="276" w:lineRule="auto"/>
                                    <w:jc w:val="center"/>
                                    <w:rPr>
                                      <w:rFonts w:ascii="Times New Roman" w:hAnsi="Times New Roman" w:cs="Times New Roman"/>
                                      <w:strike/>
                                      <w:color w:val="000000"/>
                                      <w:lang w:val="en-US" w:eastAsia="en-US" w:bidi="en-US"/>
                                    </w:rPr>
                                  </w:pPr>
                                  <w:r w:rsidRPr="00F55555">
                                    <w:rPr>
                                      <w:rFonts w:ascii="Times New Roman" w:hAnsi="Times New Roman" w:cs="Times New Roman"/>
                                      <w:sz w:val="16"/>
                                      <w:szCs w:val="16"/>
                                      <w:lang w:val="en-US" w:eastAsia="en-US" w:bidi="en-US"/>
                                    </w:rPr>
                                    <w:t>1280.753,90</w:t>
                                  </w:r>
                                </w:p>
                              </w:tc>
                              <w:tc>
                                <w:tcPr>
                                  <w:tcW w:w="1842"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4344F" w:rsidRDefault="00945B35" w:rsidP="006870B4">
                                  <w:pPr>
                                    <w:spacing w:after="0" w:line="276" w:lineRule="auto"/>
                                    <w:jc w:val="center"/>
                                    <w:rPr>
                                      <w:rFonts w:ascii="Times New Roman" w:hAnsi="Times New Roman" w:cs="Times New Roman"/>
                                      <w:lang w:val="en-US" w:eastAsia="en-US" w:bidi="en-US"/>
                                    </w:rPr>
                                  </w:pPr>
                                  <w:r w:rsidRPr="0044344F">
                                    <w:rPr>
                                      <w:rFonts w:ascii="Times New Roman" w:hAnsi="Times New Roman" w:cs="Times New Roman"/>
                                      <w:sz w:val="16"/>
                                      <w:szCs w:val="16"/>
                                      <w:lang w:val="en-US" w:eastAsia="en-US" w:bidi="en-US"/>
                                    </w:rPr>
                                    <w:t>597540,57</w:t>
                                  </w:r>
                                </w:p>
                              </w:tc>
                              <w:tc>
                                <w:tcPr>
                                  <w:tcW w:w="1560"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rsidR="00294BD0" w:rsidRPr="004A429A" w:rsidRDefault="00E90210"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w:t>
                                  </w:r>
                                  <w:r w:rsidR="00B62D07" w:rsidRPr="004A429A">
                                    <w:rPr>
                                      <w:rFonts w:ascii="Times New Roman" w:hAnsi="Times New Roman" w:cs="Times New Roman"/>
                                      <w:sz w:val="16"/>
                                      <w:szCs w:val="16"/>
                                      <w:lang w:val="en-US" w:eastAsia="en-US" w:bidi="en-US"/>
                                    </w:rPr>
                                    <w:t> </w:t>
                                  </w:r>
                                  <w:r w:rsidR="0044344F">
                                    <w:rPr>
                                      <w:rFonts w:ascii="Times New Roman" w:hAnsi="Times New Roman" w:cs="Times New Roman"/>
                                      <w:sz w:val="16"/>
                                      <w:szCs w:val="16"/>
                                      <w:lang w:val="en-US" w:eastAsia="en-US" w:bidi="en-US"/>
                                    </w:rPr>
                                    <w:t>303255,53</w:t>
                                  </w:r>
                                </w:p>
                                <w:p w:rsidR="00294BD0" w:rsidRDefault="00294BD0" w:rsidP="006870B4">
                                  <w:pPr>
                                    <w:spacing w:after="0" w:line="276" w:lineRule="auto"/>
                                    <w:jc w:val="center"/>
                                    <w:rPr>
                                      <w:rFonts w:ascii="Times New Roman" w:hAnsi="Times New Roman" w:cs="Times New Roman"/>
                                      <w:b/>
                                      <w:color w:val="000000"/>
                                      <w:sz w:val="16"/>
                                      <w:szCs w:val="16"/>
                                      <w:lang w:val="en-US" w:eastAsia="en-US" w:bidi="en-US"/>
                                    </w:rPr>
                                  </w:pPr>
                                </w:p>
                              </w:tc>
                              <w:tc>
                                <w:tcPr>
                                  <w:tcW w:w="567"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F600E6" w:rsidRDefault="00563324" w:rsidP="006870B4">
                                  <w:pPr>
                                    <w:spacing w:after="0" w:line="276" w:lineRule="auto"/>
                                    <w:jc w:val="center"/>
                                    <w:rPr>
                                      <w:rFonts w:ascii="Times New Roman" w:hAnsi="Times New Roman" w:cs="Times New Roman"/>
                                      <w:lang w:val="en-US" w:eastAsia="en-US" w:bidi="en-US"/>
                                    </w:rPr>
                                  </w:pPr>
                                  <w:r w:rsidRPr="00F600E6">
                                    <w:rPr>
                                      <w:rFonts w:ascii="Times New Roman" w:hAnsi="Times New Roman" w:cs="Times New Roman"/>
                                      <w:sz w:val="16"/>
                                      <w:szCs w:val="16"/>
                                      <w:lang w:val="en-US" w:eastAsia="en-US" w:bidi="en-US"/>
                                    </w:rPr>
                                    <w:t>3</w:t>
                                  </w:r>
                                  <w:r w:rsidR="005E334A" w:rsidRPr="00F600E6">
                                    <w:rPr>
                                      <w:rFonts w:ascii="Times New Roman" w:hAnsi="Times New Roman" w:cs="Times New Roman"/>
                                      <w:sz w:val="16"/>
                                      <w:szCs w:val="16"/>
                                      <w:lang w:val="en-US" w:eastAsia="en-US" w:bidi="en-US"/>
                                    </w:rPr>
                                    <w:t> </w:t>
                                  </w:r>
                                  <w:r w:rsidRPr="00F600E6">
                                    <w:rPr>
                                      <w:rFonts w:ascii="Times New Roman" w:hAnsi="Times New Roman" w:cs="Times New Roman"/>
                                      <w:sz w:val="16"/>
                                      <w:szCs w:val="16"/>
                                      <w:lang w:val="en-US" w:eastAsia="en-US" w:bidi="en-US"/>
                                    </w:rPr>
                                    <w:t>181</w:t>
                                  </w:r>
                                  <w:r w:rsidR="005E334A" w:rsidRPr="00F600E6">
                                    <w:rPr>
                                      <w:rFonts w:ascii="Times New Roman" w:hAnsi="Times New Roman" w:cs="Times New Roman"/>
                                      <w:sz w:val="16"/>
                                      <w:szCs w:val="16"/>
                                      <w:lang w:val="en-US" w:eastAsia="en-US" w:bidi="en-US"/>
                                    </w:rPr>
                                    <w:t xml:space="preserve"> 550</w:t>
                                  </w:r>
                                </w:p>
                              </w:tc>
                              <w:tc>
                                <w:tcPr>
                                  <w:tcW w:w="1134" w:type="dxa"/>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FF0000"/>
                                      <w:lang w:val="en-US" w:eastAsia="en-US" w:bidi="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FF0000"/>
                                      <w:lang w:val="en-US" w:eastAsia="en-US" w:bidi="en-US"/>
                                    </w:rPr>
                                  </w:pPr>
                                </w:p>
                              </w:tc>
                            </w:tr>
                            <w:tr w:rsidR="00294BD0">
                              <w:trPr>
                                <w:trHeight w:val="70"/>
                              </w:trPr>
                              <w:tc>
                                <w:tcPr>
                                  <w:tcW w:w="13575" w:type="dxa"/>
                                  <w:gridSpan w:val="9"/>
                                  <w:tcBorders>
                                    <w:top w:val="single" w:sz="4" w:space="0" w:color="000000"/>
                                    <w:left w:val="single" w:sz="4" w:space="0" w:color="000000"/>
                                    <w:bottom w:val="single" w:sz="4" w:space="0" w:color="000000"/>
                                  </w:tcBorders>
                                  <w:shd w:val="clear" w:color="auto" w:fill="E5B8B7"/>
                                </w:tcPr>
                                <w:p w:rsidR="00294BD0" w:rsidRDefault="00294BD0">
                                  <w:pPr>
                                    <w:spacing w:after="12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20"/>
                                      <w:szCs w:val="20"/>
                                      <w:lang w:eastAsia="en-US" w:bidi="en-US"/>
                                    </w:rPr>
                                    <w:t>Razem planowane wsparcie na przedsięwzięcia dedykowane tworzeniu i utrzymaniu miejsc pracy w ramach poddziałania Realizacja LSR PROW</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E5B8B7"/>
                                </w:tcPr>
                                <w:p w:rsidR="00294BD0" w:rsidRDefault="00294BD0">
                                  <w:pPr>
                                    <w:spacing w:after="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16"/>
                                      <w:szCs w:val="16"/>
                                      <w:lang w:val="en-US" w:eastAsia="en-US" w:bidi="en-US"/>
                                    </w:rPr>
                                    <w:t xml:space="preserve">% budżetu poddziałania </w:t>
                                  </w:r>
                                </w:p>
                                <w:p w:rsidR="00294BD0" w:rsidRDefault="00294BD0">
                                  <w:pPr>
                                    <w:spacing w:after="0" w:line="276" w:lineRule="auto"/>
                                  </w:pPr>
                                  <w:r>
                                    <w:rPr>
                                      <w:rFonts w:ascii="Times New Roman" w:hAnsi="Times New Roman" w:cs="Times New Roman"/>
                                      <w:color w:val="000000"/>
                                      <w:sz w:val="16"/>
                                      <w:szCs w:val="16"/>
                                      <w:lang w:val="en-US" w:eastAsia="en-US" w:bidi="en-US"/>
                                    </w:rPr>
                                    <w:t>Realizacja LSR</w:t>
                                  </w:r>
                                </w:p>
                              </w:tc>
                            </w:tr>
                            <w:tr w:rsidR="00294BD0">
                              <w:tc>
                                <w:tcPr>
                                  <w:tcW w:w="12157" w:type="dxa"/>
                                  <w:gridSpan w:val="8"/>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eastAsia="Times New Roman" w:hAnsi="Times New Roman" w:cs="Times New Roman"/>
                                      <w:color w:val="FF0000"/>
                                      <w:sz w:val="20"/>
                                      <w:szCs w:val="2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784C7C">
                                  <w:pPr>
                                    <w:spacing w:after="0" w:line="276" w:lineRule="auto"/>
                                    <w:rPr>
                                      <w:rFonts w:ascii="Times New Roman" w:hAnsi="Times New Roman" w:cs="Times New Roman"/>
                                      <w:strike/>
                                      <w:sz w:val="16"/>
                                      <w:szCs w:val="16"/>
                                      <w:lang w:eastAsia="en-US" w:bidi="en-US"/>
                                    </w:rPr>
                                  </w:pPr>
                                  <w:r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57</w:t>
                                  </w:r>
                                  <w:r w:rsidR="001E27AD"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 xml:space="preserve">774,58 </w:t>
                                  </w:r>
                                  <w:r w:rsidR="00294BD0" w:rsidRPr="004A429A">
                                    <w:rPr>
                                      <w:rFonts w:ascii="Times New Roman" w:hAnsi="Times New Roman" w:cs="Times New Roman"/>
                                      <w:b/>
                                      <w:sz w:val="16"/>
                                      <w:szCs w:val="16"/>
                                      <w:lang w:val="en-US" w:eastAsia="en-US" w:bidi="en-US"/>
                                    </w:rPr>
                                    <w:t>euro</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napToGrid w:val="0"/>
                                    <w:spacing w:after="0" w:line="276" w:lineRule="auto"/>
                                    <w:rPr>
                                      <w:rFonts w:ascii="Times New Roman" w:hAnsi="Times New Roman" w:cs="Times New Roman"/>
                                      <w:strike/>
                                      <w:color w:val="000000"/>
                                      <w:sz w:val="16"/>
                                      <w:szCs w:val="16"/>
                                      <w:lang w:eastAsia="en-US" w:bidi="en-US"/>
                                    </w:rPr>
                                  </w:pPr>
                                </w:p>
                                <w:p w:rsidR="00294BD0" w:rsidRPr="004A429A" w:rsidRDefault="00784C7C">
                                  <w:pPr>
                                    <w:spacing w:after="0" w:line="276" w:lineRule="auto"/>
                                  </w:pPr>
                                  <w:r w:rsidRPr="004A429A">
                                    <w:rPr>
                                      <w:rFonts w:ascii="Times New Roman" w:hAnsi="Times New Roman" w:cs="Times New Roman"/>
                                      <w:sz w:val="16"/>
                                      <w:szCs w:val="16"/>
                                      <w:lang w:eastAsia="en-US" w:bidi="en-US"/>
                                    </w:rPr>
                                    <w:t>50,</w:t>
                                  </w:r>
                                  <w:r w:rsidR="001E27AD" w:rsidRPr="004A429A">
                                    <w:rPr>
                                      <w:rFonts w:ascii="Times New Roman" w:hAnsi="Times New Roman" w:cs="Times New Roman"/>
                                      <w:sz w:val="16"/>
                                      <w:szCs w:val="16"/>
                                      <w:lang w:eastAsia="en-US" w:bidi="en-US"/>
                                    </w:rPr>
                                    <w:t>31</w:t>
                                  </w:r>
                                  <w:r w:rsidR="00294BD0" w:rsidRPr="004A429A">
                                    <w:rPr>
                                      <w:rFonts w:ascii="Times New Roman" w:hAnsi="Times New Roman" w:cs="Times New Roman"/>
                                      <w:sz w:val="16"/>
                                      <w:szCs w:val="16"/>
                                      <w:lang w:eastAsia="en-US" w:bidi="en-US"/>
                                    </w:rPr>
                                    <w:t>%</w:t>
                                  </w:r>
                                </w:p>
                              </w:tc>
                            </w:tr>
                          </w:tbl>
                          <w:p w:rsidR="00294BD0" w:rsidRDefault="00294BD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22.1pt;width:797.1pt;height:76.15pt;z-index:25165414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2518"/>
                        <w:gridCol w:w="1559"/>
                        <w:gridCol w:w="1560"/>
                        <w:gridCol w:w="1842"/>
                        <w:gridCol w:w="1134"/>
                        <w:gridCol w:w="1560"/>
                        <w:gridCol w:w="1417"/>
                        <w:gridCol w:w="567"/>
                        <w:gridCol w:w="1418"/>
                        <w:gridCol w:w="1134"/>
                        <w:gridCol w:w="1305"/>
                      </w:tblGrid>
                      <w:tr w:rsidR="00294BD0">
                        <w:tc>
                          <w:tcPr>
                            <w:tcW w:w="2518" w:type="dxa"/>
                            <w:tcBorders>
                              <w:top w:val="single" w:sz="4" w:space="0" w:color="000000"/>
                              <w:left w:val="single" w:sz="4" w:space="0" w:color="000000"/>
                              <w:bottom w:val="single" w:sz="4" w:space="0" w:color="000000"/>
                            </w:tcBorders>
                            <w:shd w:val="clear" w:color="auto" w:fill="31849B"/>
                          </w:tcPr>
                          <w:p w:rsidR="00294BD0" w:rsidRDefault="00294BD0">
                            <w:pPr>
                              <w:spacing w:after="120" w:line="276" w:lineRule="auto"/>
                              <w:rPr>
                                <w:rFonts w:ascii="Times New Roman" w:hAnsi="Times New Roman" w:cs="Times New Roman"/>
                                <w:color w:val="000000"/>
                                <w:lang w:val="en-US" w:eastAsia="en-US" w:bidi="en-US"/>
                              </w:rPr>
                            </w:pPr>
                            <w:r>
                              <w:rPr>
                                <w:rFonts w:ascii="Times New Roman" w:hAnsi="Times New Roman" w:cs="Times New Roman"/>
                                <w:color w:val="000000"/>
                                <w:sz w:val="16"/>
                                <w:szCs w:val="16"/>
                                <w:lang w:val="en-US" w:eastAsia="en-US" w:bidi="en-US"/>
                              </w:rPr>
                              <w:t>Razem LSR</w:t>
                            </w:r>
                          </w:p>
                        </w:tc>
                        <w:tc>
                          <w:tcPr>
                            <w:tcW w:w="1559" w:type="dxa"/>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000000"/>
                                <w:lang w:val="en-US" w:eastAsia="en-US" w:bidi="en-US"/>
                              </w:rPr>
                            </w:pPr>
                          </w:p>
                        </w:tc>
                        <w:tc>
                          <w:tcPr>
                            <w:tcW w:w="1560" w:type="dxa"/>
                            <w:tcBorders>
                              <w:top w:val="single" w:sz="4" w:space="0" w:color="000000"/>
                              <w:left w:val="single" w:sz="4" w:space="0" w:color="000000"/>
                              <w:bottom w:val="single" w:sz="4" w:space="0" w:color="000000"/>
                            </w:tcBorders>
                            <w:shd w:val="clear" w:color="auto" w:fill="auto"/>
                          </w:tcPr>
                          <w:p w:rsidR="00294BD0" w:rsidRPr="00F55555" w:rsidRDefault="00F55555" w:rsidP="006870B4">
                            <w:pPr>
                              <w:spacing w:after="0" w:line="276" w:lineRule="auto"/>
                              <w:jc w:val="center"/>
                              <w:rPr>
                                <w:rFonts w:ascii="Times New Roman" w:hAnsi="Times New Roman" w:cs="Times New Roman"/>
                                <w:strike/>
                                <w:color w:val="000000"/>
                                <w:lang w:val="en-US" w:eastAsia="en-US" w:bidi="en-US"/>
                              </w:rPr>
                            </w:pPr>
                            <w:r w:rsidRPr="00F55555">
                              <w:rPr>
                                <w:rFonts w:ascii="Times New Roman" w:hAnsi="Times New Roman" w:cs="Times New Roman"/>
                                <w:sz w:val="16"/>
                                <w:szCs w:val="16"/>
                                <w:lang w:val="en-US" w:eastAsia="en-US" w:bidi="en-US"/>
                              </w:rPr>
                              <w:t>1280.753,90</w:t>
                            </w:r>
                          </w:p>
                        </w:tc>
                        <w:tc>
                          <w:tcPr>
                            <w:tcW w:w="1842"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rsidR="00294BD0" w:rsidRPr="0044344F" w:rsidRDefault="00945B35" w:rsidP="006870B4">
                            <w:pPr>
                              <w:spacing w:after="0" w:line="276" w:lineRule="auto"/>
                              <w:jc w:val="center"/>
                              <w:rPr>
                                <w:rFonts w:ascii="Times New Roman" w:hAnsi="Times New Roman" w:cs="Times New Roman"/>
                                <w:lang w:val="en-US" w:eastAsia="en-US" w:bidi="en-US"/>
                              </w:rPr>
                            </w:pPr>
                            <w:r w:rsidRPr="0044344F">
                              <w:rPr>
                                <w:rFonts w:ascii="Times New Roman" w:hAnsi="Times New Roman" w:cs="Times New Roman"/>
                                <w:sz w:val="16"/>
                                <w:szCs w:val="16"/>
                                <w:lang w:val="en-US" w:eastAsia="en-US" w:bidi="en-US"/>
                              </w:rPr>
                              <w:t>597540,57</w:t>
                            </w:r>
                          </w:p>
                        </w:tc>
                        <w:tc>
                          <w:tcPr>
                            <w:tcW w:w="1560"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rsidR="00294BD0" w:rsidRPr="004A429A" w:rsidRDefault="00E90210"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w:t>
                            </w:r>
                            <w:r w:rsidR="00B62D07" w:rsidRPr="004A429A">
                              <w:rPr>
                                <w:rFonts w:ascii="Times New Roman" w:hAnsi="Times New Roman" w:cs="Times New Roman"/>
                                <w:sz w:val="16"/>
                                <w:szCs w:val="16"/>
                                <w:lang w:val="en-US" w:eastAsia="en-US" w:bidi="en-US"/>
                              </w:rPr>
                              <w:t> </w:t>
                            </w:r>
                            <w:r w:rsidR="0044344F">
                              <w:rPr>
                                <w:rFonts w:ascii="Times New Roman" w:hAnsi="Times New Roman" w:cs="Times New Roman"/>
                                <w:sz w:val="16"/>
                                <w:szCs w:val="16"/>
                                <w:lang w:val="en-US" w:eastAsia="en-US" w:bidi="en-US"/>
                              </w:rPr>
                              <w:t>303255,53</w:t>
                            </w:r>
                          </w:p>
                          <w:p w:rsidR="00294BD0" w:rsidRDefault="00294BD0" w:rsidP="006870B4">
                            <w:pPr>
                              <w:spacing w:after="0" w:line="276" w:lineRule="auto"/>
                              <w:jc w:val="center"/>
                              <w:rPr>
                                <w:rFonts w:ascii="Times New Roman" w:hAnsi="Times New Roman" w:cs="Times New Roman"/>
                                <w:b/>
                                <w:color w:val="000000"/>
                                <w:sz w:val="16"/>
                                <w:szCs w:val="16"/>
                                <w:lang w:val="en-US" w:eastAsia="en-US" w:bidi="en-US"/>
                              </w:rPr>
                            </w:pPr>
                          </w:p>
                        </w:tc>
                        <w:tc>
                          <w:tcPr>
                            <w:tcW w:w="567" w:type="dxa"/>
                            <w:tcBorders>
                              <w:top w:val="single" w:sz="4" w:space="0" w:color="000000"/>
                              <w:left w:val="single" w:sz="4" w:space="0" w:color="000000"/>
                              <w:bottom w:val="single" w:sz="4" w:space="0" w:color="000000"/>
                            </w:tcBorders>
                            <w:shd w:val="clear" w:color="auto" w:fill="A6A6A6"/>
                          </w:tcPr>
                          <w:p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F600E6" w:rsidRDefault="00563324" w:rsidP="006870B4">
                            <w:pPr>
                              <w:spacing w:after="0" w:line="276" w:lineRule="auto"/>
                              <w:jc w:val="center"/>
                              <w:rPr>
                                <w:rFonts w:ascii="Times New Roman" w:hAnsi="Times New Roman" w:cs="Times New Roman"/>
                                <w:lang w:val="en-US" w:eastAsia="en-US" w:bidi="en-US"/>
                              </w:rPr>
                            </w:pPr>
                            <w:r w:rsidRPr="00F600E6">
                              <w:rPr>
                                <w:rFonts w:ascii="Times New Roman" w:hAnsi="Times New Roman" w:cs="Times New Roman"/>
                                <w:sz w:val="16"/>
                                <w:szCs w:val="16"/>
                                <w:lang w:val="en-US" w:eastAsia="en-US" w:bidi="en-US"/>
                              </w:rPr>
                              <w:t>3</w:t>
                            </w:r>
                            <w:r w:rsidR="005E334A" w:rsidRPr="00F600E6">
                              <w:rPr>
                                <w:rFonts w:ascii="Times New Roman" w:hAnsi="Times New Roman" w:cs="Times New Roman"/>
                                <w:sz w:val="16"/>
                                <w:szCs w:val="16"/>
                                <w:lang w:val="en-US" w:eastAsia="en-US" w:bidi="en-US"/>
                              </w:rPr>
                              <w:t> </w:t>
                            </w:r>
                            <w:r w:rsidRPr="00F600E6">
                              <w:rPr>
                                <w:rFonts w:ascii="Times New Roman" w:hAnsi="Times New Roman" w:cs="Times New Roman"/>
                                <w:sz w:val="16"/>
                                <w:szCs w:val="16"/>
                                <w:lang w:val="en-US" w:eastAsia="en-US" w:bidi="en-US"/>
                              </w:rPr>
                              <w:t>181</w:t>
                            </w:r>
                            <w:r w:rsidR="005E334A" w:rsidRPr="00F600E6">
                              <w:rPr>
                                <w:rFonts w:ascii="Times New Roman" w:hAnsi="Times New Roman" w:cs="Times New Roman"/>
                                <w:sz w:val="16"/>
                                <w:szCs w:val="16"/>
                                <w:lang w:val="en-US" w:eastAsia="en-US" w:bidi="en-US"/>
                              </w:rPr>
                              <w:t xml:space="preserve"> 550</w:t>
                            </w:r>
                          </w:p>
                        </w:tc>
                        <w:tc>
                          <w:tcPr>
                            <w:tcW w:w="1134" w:type="dxa"/>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FF0000"/>
                                <w:lang w:val="en-US" w:eastAsia="en-US" w:bidi="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6A6A6"/>
                          </w:tcPr>
                          <w:p w:rsidR="00294BD0" w:rsidRDefault="00294BD0">
                            <w:pPr>
                              <w:snapToGrid w:val="0"/>
                              <w:spacing w:after="120" w:line="276" w:lineRule="auto"/>
                              <w:rPr>
                                <w:rFonts w:ascii="Times New Roman" w:hAnsi="Times New Roman" w:cs="Times New Roman"/>
                                <w:color w:val="FF0000"/>
                                <w:lang w:val="en-US" w:eastAsia="en-US" w:bidi="en-US"/>
                              </w:rPr>
                            </w:pPr>
                          </w:p>
                        </w:tc>
                      </w:tr>
                      <w:tr w:rsidR="00294BD0">
                        <w:trPr>
                          <w:trHeight w:val="70"/>
                        </w:trPr>
                        <w:tc>
                          <w:tcPr>
                            <w:tcW w:w="13575" w:type="dxa"/>
                            <w:gridSpan w:val="9"/>
                            <w:tcBorders>
                              <w:top w:val="single" w:sz="4" w:space="0" w:color="000000"/>
                              <w:left w:val="single" w:sz="4" w:space="0" w:color="000000"/>
                              <w:bottom w:val="single" w:sz="4" w:space="0" w:color="000000"/>
                            </w:tcBorders>
                            <w:shd w:val="clear" w:color="auto" w:fill="E5B8B7"/>
                          </w:tcPr>
                          <w:p w:rsidR="00294BD0" w:rsidRDefault="00294BD0">
                            <w:pPr>
                              <w:spacing w:after="12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20"/>
                                <w:szCs w:val="20"/>
                                <w:lang w:eastAsia="en-US" w:bidi="en-US"/>
                              </w:rPr>
                              <w:t>Razem planowane wsparcie na przedsięwzięcia dedykowane tworzeniu i utrzymaniu miejsc pracy w ramach poddziałania Realizacja LSR PROW</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E5B8B7"/>
                          </w:tcPr>
                          <w:p w:rsidR="00294BD0" w:rsidRDefault="00294BD0">
                            <w:pPr>
                              <w:spacing w:after="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16"/>
                                <w:szCs w:val="16"/>
                                <w:lang w:val="en-US" w:eastAsia="en-US" w:bidi="en-US"/>
                              </w:rPr>
                              <w:t xml:space="preserve">% budżetu poddziałania </w:t>
                            </w:r>
                          </w:p>
                          <w:p w:rsidR="00294BD0" w:rsidRDefault="00294BD0">
                            <w:pPr>
                              <w:spacing w:after="0" w:line="276" w:lineRule="auto"/>
                            </w:pPr>
                            <w:r>
                              <w:rPr>
                                <w:rFonts w:ascii="Times New Roman" w:hAnsi="Times New Roman" w:cs="Times New Roman"/>
                                <w:color w:val="000000"/>
                                <w:sz w:val="16"/>
                                <w:szCs w:val="16"/>
                                <w:lang w:val="en-US" w:eastAsia="en-US" w:bidi="en-US"/>
                              </w:rPr>
                              <w:t>Realizacja LSR</w:t>
                            </w:r>
                          </w:p>
                        </w:tc>
                      </w:tr>
                      <w:tr w:rsidR="00294BD0">
                        <w:tc>
                          <w:tcPr>
                            <w:tcW w:w="12157" w:type="dxa"/>
                            <w:gridSpan w:val="8"/>
                            <w:tcBorders>
                              <w:top w:val="single" w:sz="4" w:space="0" w:color="000000"/>
                              <w:left w:val="single" w:sz="4" w:space="0" w:color="000000"/>
                              <w:bottom w:val="single" w:sz="4" w:space="0" w:color="000000"/>
                            </w:tcBorders>
                            <w:shd w:val="clear" w:color="auto" w:fill="A6A6A6"/>
                          </w:tcPr>
                          <w:p w:rsidR="00294BD0" w:rsidRDefault="00294BD0">
                            <w:pPr>
                              <w:snapToGrid w:val="0"/>
                              <w:spacing w:after="120" w:line="276" w:lineRule="auto"/>
                              <w:rPr>
                                <w:rFonts w:ascii="Times New Roman" w:eastAsia="Times New Roman" w:hAnsi="Times New Roman" w:cs="Times New Roman"/>
                                <w:color w:val="FF0000"/>
                                <w:sz w:val="20"/>
                                <w:szCs w:val="2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rsidR="00294BD0" w:rsidRPr="004A429A" w:rsidRDefault="00784C7C">
                            <w:pPr>
                              <w:spacing w:after="0" w:line="276" w:lineRule="auto"/>
                              <w:rPr>
                                <w:rFonts w:ascii="Times New Roman" w:hAnsi="Times New Roman" w:cs="Times New Roman"/>
                                <w:strike/>
                                <w:sz w:val="16"/>
                                <w:szCs w:val="16"/>
                                <w:lang w:eastAsia="en-US" w:bidi="en-US"/>
                              </w:rPr>
                            </w:pPr>
                            <w:r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57</w:t>
                            </w:r>
                            <w:r w:rsidR="001E27AD"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 xml:space="preserve">774,58 </w:t>
                            </w:r>
                            <w:r w:rsidR="00294BD0" w:rsidRPr="004A429A">
                              <w:rPr>
                                <w:rFonts w:ascii="Times New Roman" w:hAnsi="Times New Roman" w:cs="Times New Roman"/>
                                <w:b/>
                                <w:sz w:val="16"/>
                                <w:szCs w:val="16"/>
                                <w:lang w:val="en-US" w:eastAsia="en-US" w:bidi="en-US"/>
                              </w:rPr>
                              <w:t>euro</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napToGrid w:val="0"/>
                              <w:spacing w:after="0" w:line="276" w:lineRule="auto"/>
                              <w:rPr>
                                <w:rFonts w:ascii="Times New Roman" w:hAnsi="Times New Roman" w:cs="Times New Roman"/>
                                <w:strike/>
                                <w:color w:val="000000"/>
                                <w:sz w:val="16"/>
                                <w:szCs w:val="16"/>
                                <w:lang w:eastAsia="en-US" w:bidi="en-US"/>
                              </w:rPr>
                            </w:pPr>
                          </w:p>
                          <w:p w:rsidR="00294BD0" w:rsidRPr="004A429A" w:rsidRDefault="00784C7C">
                            <w:pPr>
                              <w:spacing w:after="0" w:line="276" w:lineRule="auto"/>
                            </w:pPr>
                            <w:r w:rsidRPr="004A429A">
                              <w:rPr>
                                <w:rFonts w:ascii="Times New Roman" w:hAnsi="Times New Roman" w:cs="Times New Roman"/>
                                <w:sz w:val="16"/>
                                <w:szCs w:val="16"/>
                                <w:lang w:eastAsia="en-US" w:bidi="en-US"/>
                              </w:rPr>
                              <w:t>50,</w:t>
                            </w:r>
                            <w:r w:rsidR="001E27AD" w:rsidRPr="004A429A">
                              <w:rPr>
                                <w:rFonts w:ascii="Times New Roman" w:hAnsi="Times New Roman" w:cs="Times New Roman"/>
                                <w:sz w:val="16"/>
                                <w:szCs w:val="16"/>
                                <w:lang w:eastAsia="en-US" w:bidi="en-US"/>
                              </w:rPr>
                              <w:t>31</w:t>
                            </w:r>
                            <w:r w:rsidR="00294BD0" w:rsidRPr="004A429A">
                              <w:rPr>
                                <w:rFonts w:ascii="Times New Roman" w:hAnsi="Times New Roman" w:cs="Times New Roman"/>
                                <w:sz w:val="16"/>
                                <w:szCs w:val="16"/>
                                <w:lang w:eastAsia="en-US" w:bidi="en-US"/>
                              </w:rPr>
                              <w:t>%</w:t>
                            </w:r>
                          </w:p>
                        </w:tc>
                      </w:tr>
                    </w:tbl>
                    <w:p w:rsidR="00294BD0" w:rsidRDefault="00294BD0">
                      <w:r>
                        <w:t xml:space="preserve"> </w:t>
                      </w:r>
                    </w:p>
                  </w:txbxContent>
                </v:textbox>
                <w10:wrap type="square" anchorx="margin"/>
              </v:shape>
            </w:pict>
          </mc:Fallback>
        </mc:AlternateContent>
      </w:r>
    </w:p>
    <w:p w:rsidR="00294BD0" w:rsidRDefault="00294BD0">
      <w:pPr>
        <w:sectPr w:rsidR="00294BD0" w:rsidSect="00703BB8">
          <w:footerReference w:type="default" r:id="rId28"/>
          <w:pgSz w:w="19278" w:h="12247" w:orient="landscape" w:code="292"/>
          <w:pgMar w:top="851" w:right="1418" w:bottom="851" w:left="851" w:header="709" w:footer="709" w:gutter="0"/>
          <w:paperSrc w:first="14"/>
          <w:cols w:space="708"/>
          <w:docGrid w:linePitch="600" w:charSpace="36864"/>
        </w:sectPr>
      </w:pPr>
    </w:p>
    <w:p w:rsidR="00294BD0" w:rsidRDefault="00294BD0">
      <w:pPr>
        <w:tabs>
          <w:tab w:val="left" w:pos="1770"/>
        </w:tabs>
        <w:rPr>
          <w:rFonts w:ascii="Times New Roman" w:eastAsia="Times New Roman" w:hAnsi="Times New Roman" w:cs="Times New Roman"/>
          <w:b/>
          <w:color w:val="000000"/>
        </w:rPr>
      </w:pPr>
      <w:r>
        <w:rPr>
          <w:rFonts w:ascii="Times New Roman" w:hAnsi="Times New Roman" w:cs="Times New Roman"/>
          <w:b/>
        </w:rPr>
        <w:t>Załącznik nr 4 Budżet LSR</w:t>
      </w:r>
    </w:p>
    <w:tbl>
      <w:tblPr>
        <w:tblW w:w="0" w:type="auto"/>
        <w:tblInd w:w="108" w:type="dxa"/>
        <w:tblLayout w:type="fixed"/>
        <w:tblLook w:val="0000" w:firstRow="0" w:lastRow="0" w:firstColumn="0" w:lastColumn="0" w:noHBand="0" w:noVBand="0"/>
      </w:tblPr>
      <w:tblGrid>
        <w:gridCol w:w="3315"/>
        <w:gridCol w:w="1560"/>
        <w:gridCol w:w="761"/>
        <w:gridCol w:w="992"/>
        <w:gridCol w:w="961"/>
        <w:gridCol w:w="882"/>
        <w:gridCol w:w="1537"/>
      </w:tblGrid>
      <w:tr w:rsidR="00294BD0">
        <w:tc>
          <w:tcPr>
            <w:tcW w:w="3315" w:type="dxa"/>
            <w:vMerge w:val="restart"/>
            <w:tcBorders>
              <w:top w:val="single" w:sz="4" w:space="0" w:color="000000"/>
              <w:left w:val="single" w:sz="4" w:space="0" w:color="000000"/>
              <w:bottom w:val="single" w:sz="4" w:space="0" w:color="000000"/>
            </w:tcBorders>
            <w:shd w:val="clear" w:color="auto" w:fill="FFF2CC"/>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Zakres wsparcia</w:t>
            </w:r>
          </w:p>
        </w:tc>
        <w:tc>
          <w:tcPr>
            <w:tcW w:w="6693" w:type="dxa"/>
            <w:gridSpan w:val="6"/>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color w:val="000000"/>
              </w:rPr>
              <w:t>Wsparcie finansowe (w Euro)</w:t>
            </w:r>
          </w:p>
        </w:tc>
      </w:tr>
      <w:tr w:rsidR="00294BD0">
        <w:tc>
          <w:tcPr>
            <w:tcW w:w="331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560" w:type="dxa"/>
            <w:vMerge w:val="restart"/>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PROW</w:t>
            </w:r>
          </w:p>
        </w:tc>
        <w:tc>
          <w:tcPr>
            <w:tcW w:w="1753" w:type="dxa"/>
            <w:gridSpan w:val="2"/>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RPO</w:t>
            </w:r>
          </w:p>
        </w:tc>
        <w:tc>
          <w:tcPr>
            <w:tcW w:w="961" w:type="dxa"/>
            <w:vMerge w:val="restart"/>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 RYBY</w:t>
            </w:r>
          </w:p>
        </w:tc>
        <w:tc>
          <w:tcPr>
            <w:tcW w:w="882" w:type="dxa"/>
            <w:vMerge w:val="restart"/>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Fundusz wiodący</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rsidR="00294BD0" w:rsidRDefault="00294BD0">
            <w:pPr>
              <w:autoSpaceDE w:val="0"/>
              <w:spacing w:after="0" w:line="240" w:lineRule="auto"/>
              <w:jc w:val="center"/>
            </w:pPr>
            <w:r>
              <w:rPr>
                <w:rFonts w:ascii="Times New Roman" w:eastAsia="Times New Roman" w:hAnsi="Times New Roman" w:cs="Times New Roman"/>
                <w:b/>
                <w:color w:val="000000"/>
              </w:rPr>
              <w:t>Razem EFSI</w:t>
            </w:r>
          </w:p>
        </w:tc>
      </w:tr>
      <w:tr w:rsidR="00294BD0">
        <w:tc>
          <w:tcPr>
            <w:tcW w:w="3315"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761" w:type="dxa"/>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EFS</w:t>
            </w:r>
          </w:p>
        </w:tc>
        <w:tc>
          <w:tcPr>
            <w:tcW w:w="992" w:type="dxa"/>
            <w:tcBorders>
              <w:top w:val="single" w:sz="4" w:space="0" w:color="000000"/>
              <w:left w:val="single" w:sz="4" w:space="0" w:color="000000"/>
              <w:bottom w:val="single" w:sz="4" w:space="0" w:color="000000"/>
            </w:tcBorders>
            <w:shd w:val="clear" w:color="auto" w:fill="FFFF00"/>
            <w:vAlign w:val="center"/>
          </w:tcPr>
          <w:p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EFRR</w:t>
            </w:r>
          </w:p>
        </w:tc>
        <w:tc>
          <w:tcPr>
            <w:tcW w:w="961"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snapToGrid w:val="0"/>
              <w:spacing w:after="0" w:line="240" w:lineRule="auto"/>
              <w:rPr>
                <w:rFonts w:ascii="Times New Roman" w:eastAsia="Times New Roman" w:hAnsi="Times New Roman" w:cs="Times New Roman"/>
                <w:b/>
                <w:color w:val="000000"/>
              </w:rPr>
            </w:pPr>
          </w:p>
        </w:tc>
      </w:tr>
      <w:tr w:rsidR="00294BD0" w:rsidRPr="004A429A">
        <w:tc>
          <w:tcPr>
            <w:tcW w:w="3315" w:type="dxa"/>
            <w:tcBorders>
              <w:top w:val="single" w:sz="4" w:space="0" w:color="000000"/>
              <w:left w:val="single" w:sz="4" w:space="0" w:color="000000"/>
              <w:bottom w:val="single" w:sz="4" w:space="0" w:color="000000"/>
            </w:tcBorders>
            <w:shd w:val="clear" w:color="auto" w:fill="FFF2CC"/>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Realizacja LSR </w:t>
            </w:r>
            <w:r w:rsidRPr="004A429A">
              <w:rPr>
                <w:rFonts w:ascii="Times New Roman" w:eastAsia="Times New Roman" w:hAnsi="Times New Roman" w:cs="Times New Roman"/>
              </w:rPr>
              <w:t>(art. 35 ust. 1 lit. B rozporządzenia nr 1303/2013)</w:t>
            </w:r>
          </w:p>
        </w:tc>
        <w:tc>
          <w:tcPr>
            <w:tcW w:w="1560"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 xml:space="preserve"> </w:t>
            </w:r>
            <w:r w:rsidR="00F83BC7" w:rsidRPr="004A429A">
              <w:rPr>
                <w:rFonts w:ascii="Times New Roman" w:eastAsia="Times New Roman" w:hAnsi="Times New Roman" w:cs="Times New Roman"/>
                <w:b/>
              </w:rPr>
              <w:t xml:space="preserve"> 2 891500,00 </w:t>
            </w:r>
            <w:r w:rsidRPr="004A429A">
              <w:rPr>
                <w:rFonts w:ascii="Times New Roman" w:eastAsia="Times New Roman" w:hAnsi="Times New Roman" w:cs="Times New Roman"/>
                <w:b/>
              </w:rPr>
              <w:t>euro</w:t>
            </w:r>
          </w:p>
          <w:p w:rsidR="00294BD0" w:rsidRPr="004A429A" w:rsidRDefault="00294BD0">
            <w:pPr>
              <w:autoSpaceDE w:val="0"/>
              <w:spacing w:after="0" w:line="240" w:lineRule="auto"/>
              <w:rPr>
                <w:rFonts w:ascii="Times New Roman" w:eastAsia="Times New Roman" w:hAnsi="Times New Roman" w:cs="Times New Roman"/>
                <w:b/>
              </w:rPr>
            </w:pPr>
          </w:p>
        </w:tc>
        <w:tc>
          <w:tcPr>
            <w:tcW w:w="7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BC7" w:rsidRPr="004A429A" w:rsidRDefault="00F83BC7" w:rsidP="00BD04CF">
            <w:pPr>
              <w:autoSpaceDE w:val="0"/>
              <w:spacing w:after="0" w:line="240" w:lineRule="auto"/>
              <w:rPr>
                <w:rFonts w:ascii="Times New Roman" w:eastAsia="Times New Roman" w:hAnsi="Times New Roman" w:cs="Times New Roman"/>
                <w:b/>
              </w:rPr>
            </w:pPr>
          </w:p>
          <w:p w:rsidR="00294BD0" w:rsidRPr="004A429A" w:rsidRDefault="00F83BC7">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2 891500,00</w:t>
            </w:r>
            <w:r w:rsidR="00F600E6">
              <w:rPr>
                <w:rFonts w:ascii="Times New Roman" w:eastAsia="Times New Roman" w:hAnsi="Times New Roman" w:cs="Times New Roman"/>
                <w:b/>
              </w:rPr>
              <w:t xml:space="preserve"> euro</w:t>
            </w:r>
          </w:p>
          <w:p w:rsidR="00294BD0" w:rsidRPr="004A429A" w:rsidRDefault="00294BD0">
            <w:pPr>
              <w:autoSpaceDE w:val="0"/>
              <w:spacing w:after="0" w:line="240" w:lineRule="auto"/>
              <w:jc w:val="center"/>
              <w:rPr>
                <w:rFonts w:ascii="Times New Roman" w:eastAsia="Times New Roman" w:hAnsi="Times New Roman" w:cs="Times New Roman"/>
                <w:b/>
                <w:strike/>
              </w:rPr>
            </w:pPr>
          </w:p>
        </w:tc>
      </w:tr>
      <w:tr w:rsidR="00294BD0" w:rsidRPr="004A429A">
        <w:tc>
          <w:tcPr>
            <w:tcW w:w="3315" w:type="dxa"/>
            <w:tcBorders>
              <w:top w:val="single" w:sz="4" w:space="0" w:color="000000"/>
              <w:left w:val="single" w:sz="4" w:space="0" w:color="000000"/>
              <w:bottom w:val="single" w:sz="4" w:space="0" w:color="000000"/>
            </w:tcBorders>
            <w:shd w:val="clear" w:color="auto" w:fill="FFF2CC"/>
            <w:vAlign w:val="center"/>
          </w:tcPr>
          <w:tbl>
            <w:tblPr>
              <w:tblW w:w="0" w:type="auto"/>
              <w:tblLayout w:type="fixed"/>
              <w:tblLook w:val="0000" w:firstRow="0" w:lastRow="0" w:firstColumn="0" w:lastColumn="0" w:noHBand="0" w:noVBand="0"/>
            </w:tblPr>
            <w:tblGrid>
              <w:gridCol w:w="3020"/>
            </w:tblGrid>
            <w:tr w:rsidR="00294BD0" w:rsidRPr="004A429A">
              <w:trPr>
                <w:trHeight w:val="269"/>
              </w:trPr>
              <w:tc>
                <w:tcPr>
                  <w:tcW w:w="3020" w:type="dxa"/>
                  <w:shd w:val="clear" w:color="auto" w:fill="auto"/>
                </w:tcPr>
                <w:p w:rsidR="00294BD0" w:rsidRPr="004A429A" w:rsidRDefault="00294BD0">
                  <w:pPr>
                    <w:autoSpaceDE w:val="0"/>
                    <w:spacing w:after="0" w:line="240" w:lineRule="auto"/>
                    <w:jc w:val="center"/>
                  </w:pPr>
                  <w:r w:rsidRPr="004A429A">
                    <w:rPr>
                      <w:rFonts w:ascii="Times New Roman" w:eastAsia="Times New Roman" w:hAnsi="Times New Roman" w:cs="Times New Roman"/>
                      <w:b/>
                      <w:bCs/>
                    </w:rPr>
                    <w:t xml:space="preserve">Współpraca </w:t>
                  </w:r>
                  <w:r w:rsidRPr="004A429A">
                    <w:rPr>
                      <w:rFonts w:ascii="Times New Roman" w:eastAsia="Times New Roman" w:hAnsi="Times New Roman" w:cs="Times New Roman"/>
                    </w:rPr>
                    <w:t>(art. 35 ust. 1 lit. c rozporządzenia nr 1303/2013)</w:t>
                  </w:r>
                </w:p>
              </w:tc>
            </w:tr>
          </w:tbl>
          <w:p w:rsidR="00294BD0" w:rsidRPr="004A429A" w:rsidRDefault="00294BD0">
            <w:pP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38000,00 euro</w:t>
            </w:r>
          </w:p>
        </w:tc>
        <w:tc>
          <w:tcPr>
            <w:tcW w:w="7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Default="00294BD0">
            <w:pPr>
              <w:autoSpaceDE w:val="0"/>
              <w:spacing w:after="0" w:line="240" w:lineRule="auto"/>
              <w:jc w:val="center"/>
              <w:rPr>
                <w:rFonts w:ascii="Times New Roman" w:eastAsia="Times New Roman" w:hAnsi="Times New Roman" w:cs="Times New Roman"/>
                <w:b/>
                <w:strike/>
              </w:rPr>
            </w:pPr>
          </w:p>
          <w:p w:rsidR="008F4D6E" w:rsidRPr="00F600E6" w:rsidRDefault="008F4D6E">
            <w:pPr>
              <w:autoSpaceDE w:val="0"/>
              <w:spacing w:after="0" w:line="240" w:lineRule="auto"/>
              <w:jc w:val="center"/>
              <w:rPr>
                <w:strike/>
              </w:rPr>
            </w:pPr>
            <w:r w:rsidRPr="00F600E6">
              <w:rPr>
                <w:rFonts w:ascii="Times New Roman" w:eastAsia="Times New Roman" w:hAnsi="Times New Roman" w:cs="Times New Roman"/>
                <w:b/>
              </w:rPr>
              <w:t>289 150,00</w:t>
            </w:r>
            <w:r w:rsidR="00F600E6">
              <w:rPr>
                <w:rFonts w:ascii="Times New Roman" w:eastAsia="Times New Roman" w:hAnsi="Times New Roman" w:cs="Times New Roman"/>
                <w:b/>
              </w:rPr>
              <w:t xml:space="preserve"> euro</w:t>
            </w:r>
          </w:p>
        </w:tc>
      </w:tr>
      <w:tr w:rsidR="00294BD0" w:rsidRPr="004A429A">
        <w:tc>
          <w:tcPr>
            <w:tcW w:w="3315" w:type="dxa"/>
            <w:tcBorders>
              <w:top w:val="single" w:sz="4" w:space="0" w:color="000000"/>
              <w:left w:val="single" w:sz="4" w:space="0" w:color="000000"/>
              <w:bottom w:val="single" w:sz="4" w:space="0" w:color="000000"/>
            </w:tcBorders>
            <w:shd w:val="clear" w:color="auto" w:fill="FFF2CC"/>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Koszty bieżące </w:t>
            </w:r>
            <w:r w:rsidRPr="004A429A">
              <w:rPr>
                <w:rFonts w:ascii="Times New Roman" w:eastAsia="Times New Roman" w:hAnsi="Times New Roman" w:cs="Times New Roman"/>
              </w:rPr>
              <w:t>(art. 35 ust. 1 lit. d rozporządzenia nr 1303/2013)</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15B23" w:rsidRPr="004A429A" w:rsidRDefault="00515B23">
            <w:pPr>
              <w:autoSpaceDE w:val="0"/>
              <w:spacing w:after="0" w:line="240" w:lineRule="auto"/>
              <w:jc w:val="center"/>
              <w:rPr>
                <w:rFonts w:ascii="Times New Roman" w:eastAsia="Times New Roman" w:hAnsi="Times New Roman" w:cs="Times New Roman"/>
                <w:b/>
                <w:strike/>
              </w:rPr>
            </w:pPr>
          </w:p>
          <w:p w:rsidR="00294BD0" w:rsidRPr="004A429A" w:rsidRDefault="00515B23">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5 08255,00 </w:t>
            </w:r>
            <w:r w:rsidR="00294BD0" w:rsidRPr="004A429A">
              <w:rPr>
                <w:rFonts w:ascii="Times New Roman" w:eastAsia="Times New Roman" w:hAnsi="Times New Roman" w:cs="Times New Roman"/>
                <w:b/>
              </w:rPr>
              <w:t>euro</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961" w:type="dxa"/>
            <w:vMerge w:val="restart"/>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882" w:type="dxa"/>
            <w:vMerge w:val="restart"/>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5B23" w:rsidRPr="004A429A" w:rsidRDefault="00515B23">
            <w:pPr>
              <w:autoSpaceDE w:val="0"/>
              <w:spacing w:after="0" w:line="240" w:lineRule="auto"/>
              <w:jc w:val="center"/>
              <w:rPr>
                <w:rFonts w:ascii="Times New Roman" w:eastAsia="Times New Roman" w:hAnsi="Times New Roman" w:cs="Times New Roman"/>
                <w:b/>
                <w:strike/>
              </w:rPr>
            </w:pPr>
          </w:p>
          <w:p w:rsidR="00294BD0" w:rsidRPr="004A429A" w:rsidRDefault="00515B23">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5 08255,00 </w:t>
            </w:r>
            <w:r w:rsidR="00294BD0" w:rsidRPr="004A429A">
              <w:rPr>
                <w:rFonts w:ascii="Times New Roman" w:eastAsia="Times New Roman" w:hAnsi="Times New Roman" w:cs="Times New Roman"/>
                <w:b/>
              </w:rPr>
              <w:t>euro</w:t>
            </w:r>
          </w:p>
          <w:p w:rsidR="00294BD0" w:rsidRPr="004A429A" w:rsidRDefault="00294BD0">
            <w:pPr>
              <w:autoSpaceDE w:val="0"/>
              <w:spacing w:after="0" w:line="240" w:lineRule="auto"/>
              <w:jc w:val="center"/>
              <w:rPr>
                <w:rFonts w:ascii="Times New Roman" w:eastAsia="Times New Roman" w:hAnsi="Times New Roman" w:cs="Times New Roman"/>
                <w:b/>
              </w:rPr>
            </w:pPr>
          </w:p>
        </w:tc>
      </w:tr>
      <w:tr w:rsidR="00294BD0" w:rsidRPr="004A429A">
        <w:tc>
          <w:tcPr>
            <w:tcW w:w="3315" w:type="dxa"/>
            <w:tcBorders>
              <w:top w:val="single" w:sz="4" w:space="0" w:color="000000"/>
              <w:left w:val="single" w:sz="4" w:space="0" w:color="000000"/>
              <w:bottom w:val="single" w:sz="4" w:space="0" w:color="000000"/>
            </w:tcBorders>
            <w:shd w:val="clear" w:color="auto" w:fill="FFF2CC"/>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Aktywizacja </w:t>
            </w:r>
            <w:r w:rsidRPr="004A429A">
              <w:rPr>
                <w:rFonts w:ascii="Times New Roman" w:eastAsia="Times New Roman" w:hAnsi="Times New Roman" w:cs="Times New Roman"/>
              </w:rPr>
              <w:t>(art. 35 ust. 1 lit. e rozporządzenia nr 1303/2013)</w:t>
            </w:r>
          </w:p>
        </w:tc>
        <w:tc>
          <w:tcPr>
            <w:tcW w:w="1560" w:type="dxa"/>
            <w:vMerge/>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961" w:type="dxa"/>
            <w:vMerge/>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882" w:type="dxa"/>
            <w:vMerge/>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r>
      <w:tr w:rsidR="00294BD0" w:rsidRPr="004A429A">
        <w:tc>
          <w:tcPr>
            <w:tcW w:w="3315" w:type="dxa"/>
            <w:tcBorders>
              <w:top w:val="single" w:sz="4" w:space="0" w:color="000000"/>
              <w:left w:val="single" w:sz="4" w:space="0" w:color="000000"/>
              <w:bottom w:val="single" w:sz="4" w:space="0" w:color="000000"/>
            </w:tcBorders>
            <w:shd w:val="clear" w:color="auto" w:fill="FFFF00"/>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Razem</w:t>
            </w:r>
          </w:p>
        </w:tc>
        <w:tc>
          <w:tcPr>
            <w:tcW w:w="1560" w:type="dxa"/>
            <w:tcBorders>
              <w:top w:val="single" w:sz="4" w:space="0" w:color="000000"/>
              <w:left w:val="single" w:sz="4" w:space="0" w:color="000000"/>
              <w:bottom w:val="single" w:sz="4" w:space="0" w:color="000000"/>
            </w:tcBorders>
            <w:shd w:val="clear" w:color="auto" w:fill="auto"/>
            <w:vAlign w:val="center"/>
          </w:tcPr>
          <w:p w:rsidR="00294BD0" w:rsidRPr="004A429A" w:rsidRDefault="00515B23" w:rsidP="00BD04CF">
            <w:pPr>
              <w:autoSpaceDE w:val="0"/>
              <w:spacing w:after="0" w:line="240" w:lineRule="auto"/>
              <w:rPr>
                <w:rFonts w:ascii="Times New Roman" w:eastAsia="Times New Roman" w:hAnsi="Times New Roman" w:cs="Times New Roman"/>
                <w:b/>
                <w:strike/>
              </w:rPr>
            </w:pPr>
            <w:r w:rsidRPr="004A429A">
              <w:rPr>
                <w:rFonts w:ascii="Times New Roman" w:eastAsia="Times New Roman" w:hAnsi="Times New Roman" w:cs="Times New Roman"/>
                <w:b/>
              </w:rPr>
              <w:t xml:space="preserve"> 3399755,00</w:t>
            </w:r>
            <w:r w:rsidR="00BD04CF" w:rsidRPr="004A429A">
              <w:rPr>
                <w:rFonts w:ascii="Times New Roman" w:eastAsia="Times New Roman" w:hAnsi="Times New Roman" w:cs="Times New Roman"/>
                <w:b/>
              </w:rPr>
              <w:t xml:space="preserve"> </w:t>
            </w:r>
            <w:r w:rsidR="00294BD0" w:rsidRPr="004A429A">
              <w:rPr>
                <w:rFonts w:ascii="Times New Roman" w:eastAsia="Times New Roman" w:hAnsi="Times New Roman" w:cs="Times New Roman"/>
                <w:b/>
              </w:rPr>
              <w:t>e</w:t>
            </w:r>
            <w:r w:rsidR="00BD04CF" w:rsidRPr="004A429A">
              <w:rPr>
                <w:rFonts w:ascii="Times New Roman" w:eastAsia="Times New Roman" w:hAnsi="Times New Roman" w:cs="Times New Roman"/>
                <w:b/>
              </w:rPr>
              <w:t xml:space="preserve"> </w:t>
            </w:r>
            <w:r w:rsidR="00294BD0" w:rsidRPr="004A429A">
              <w:rPr>
                <w:rFonts w:ascii="Times New Roman" w:eastAsia="Times New Roman" w:hAnsi="Times New Roman" w:cs="Times New Roman"/>
                <w:b/>
              </w:rPr>
              <w:t>uro</w:t>
            </w:r>
          </w:p>
          <w:p w:rsidR="00294BD0" w:rsidRPr="004A429A" w:rsidRDefault="00294BD0">
            <w:pPr>
              <w:autoSpaceDE w:val="0"/>
              <w:spacing w:after="0" w:line="240" w:lineRule="auto"/>
              <w:jc w:val="center"/>
              <w:rPr>
                <w:rFonts w:ascii="Times New Roman" w:eastAsia="Times New Roman" w:hAnsi="Times New Roman" w:cs="Times New Roman"/>
                <w:b/>
                <w:strike/>
              </w:rPr>
            </w:pPr>
          </w:p>
        </w:tc>
        <w:tc>
          <w:tcPr>
            <w:tcW w:w="7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rsidP="00BD04CF">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 xml:space="preserve"> </w:t>
            </w:r>
            <w:r w:rsidR="008F4D6E" w:rsidRPr="00F600E6">
              <w:rPr>
                <w:rFonts w:ascii="Times New Roman" w:eastAsia="Times New Roman" w:hAnsi="Times New Roman" w:cs="Times New Roman"/>
                <w:b/>
              </w:rPr>
              <w:t>3 688 905,00</w:t>
            </w:r>
            <w:r w:rsidR="008F4D6E">
              <w:rPr>
                <w:rFonts w:ascii="Times New Roman" w:eastAsia="Times New Roman" w:hAnsi="Times New Roman" w:cs="Times New Roman"/>
                <w:b/>
              </w:rPr>
              <w:t xml:space="preserve"> </w:t>
            </w:r>
            <w:r w:rsidRPr="004A429A">
              <w:rPr>
                <w:rFonts w:ascii="Times New Roman" w:eastAsia="Times New Roman" w:hAnsi="Times New Roman" w:cs="Times New Roman"/>
                <w:b/>
              </w:rPr>
              <w:t>euro</w:t>
            </w:r>
          </w:p>
          <w:p w:rsidR="00294BD0" w:rsidRPr="004A429A" w:rsidRDefault="00294BD0">
            <w:pPr>
              <w:autoSpaceDE w:val="0"/>
              <w:spacing w:after="0" w:line="240" w:lineRule="auto"/>
              <w:jc w:val="center"/>
              <w:rPr>
                <w:rFonts w:ascii="Times New Roman" w:eastAsia="Times New Roman" w:hAnsi="Times New Roman" w:cs="Times New Roman"/>
                <w:b/>
              </w:rPr>
            </w:pPr>
          </w:p>
        </w:tc>
      </w:tr>
    </w:tbl>
    <w:p w:rsidR="00294BD0" w:rsidRPr="004A429A" w:rsidRDefault="00294BD0">
      <w:pPr>
        <w:spacing w:after="0" w:line="240" w:lineRule="auto"/>
        <w:rPr>
          <w:rFonts w:ascii="Times New Roman" w:hAnsi="Times New Roman" w:cs="Times New Roman"/>
        </w:rPr>
      </w:pPr>
    </w:p>
    <w:p w:rsidR="00294BD0" w:rsidRPr="004A429A" w:rsidRDefault="00294BD0">
      <w:pPr>
        <w:spacing w:after="0" w:line="240" w:lineRule="auto"/>
        <w:rPr>
          <w:rFonts w:ascii="Times New Roman" w:hAnsi="Times New Roman" w:cs="Times New Roman"/>
        </w:rPr>
      </w:pPr>
    </w:p>
    <w:p w:rsidR="00294BD0" w:rsidRPr="004A429A" w:rsidRDefault="00294BD0">
      <w:pPr>
        <w:spacing w:after="0" w:line="240" w:lineRule="auto"/>
        <w:rPr>
          <w:rFonts w:ascii="Times New Roman" w:hAnsi="Times New Roman" w:cs="Times New Roman"/>
        </w:rPr>
      </w:pPr>
    </w:p>
    <w:p w:rsidR="00294BD0" w:rsidRPr="004A429A" w:rsidRDefault="00294BD0">
      <w:pPr>
        <w:spacing w:after="0" w:line="240" w:lineRule="auto"/>
        <w:rPr>
          <w:rFonts w:ascii="Times New Roman" w:hAnsi="Times New Roman" w:cs="Times New Roman"/>
        </w:rPr>
      </w:pPr>
    </w:p>
    <w:tbl>
      <w:tblPr>
        <w:tblW w:w="0" w:type="auto"/>
        <w:tblInd w:w="269" w:type="dxa"/>
        <w:tblLayout w:type="fixed"/>
        <w:tblLook w:val="0000" w:firstRow="0" w:lastRow="0" w:firstColumn="0" w:lastColumn="0" w:noHBand="0" w:noVBand="0"/>
      </w:tblPr>
      <w:tblGrid>
        <w:gridCol w:w="1818"/>
        <w:gridCol w:w="2062"/>
        <w:gridCol w:w="2034"/>
        <w:gridCol w:w="2152"/>
        <w:gridCol w:w="1874"/>
      </w:tblGrid>
      <w:tr w:rsidR="00294BD0" w:rsidRPr="004A429A">
        <w:tc>
          <w:tcPr>
            <w:tcW w:w="1818"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2062" w:type="dxa"/>
            <w:tcBorders>
              <w:top w:val="single" w:sz="4" w:space="0" w:color="000000"/>
              <w:left w:val="single" w:sz="4" w:space="0" w:color="000000"/>
              <w:bottom w:val="single" w:sz="4" w:space="0" w:color="000000"/>
            </w:tcBorders>
            <w:shd w:val="clear" w:color="auto" w:fill="D9D9D9"/>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Wkład EFROW</w:t>
            </w:r>
          </w:p>
        </w:tc>
        <w:tc>
          <w:tcPr>
            <w:tcW w:w="2034" w:type="dxa"/>
            <w:tcBorders>
              <w:top w:val="single" w:sz="4" w:space="0" w:color="000000"/>
              <w:left w:val="single" w:sz="4" w:space="0" w:color="000000"/>
              <w:bottom w:val="single" w:sz="4" w:space="0" w:color="000000"/>
            </w:tcBorders>
            <w:shd w:val="clear" w:color="auto" w:fill="D9D9D9"/>
            <w:vAlign w:val="center"/>
          </w:tcPr>
          <w:p w:rsidR="00294BD0" w:rsidRPr="004A429A" w:rsidRDefault="00294BD0">
            <w:pPr>
              <w:autoSpaceDE w:val="0"/>
              <w:spacing w:after="0" w:line="240" w:lineRule="auto"/>
              <w:jc w:val="center"/>
              <w:rPr>
                <w:rFonts w:ascii="Times New Roman" w:eastAsia="Times New Roman" w:hAnsi="Times New Roman" w:cs="Times New Roman"/>
                <w:b/>
                <w:bCs/>
              </w:rPr>
            </w:pPr>
            <w:r w:rsidRPr="004A429A">
              <w:rPr>
                <w:rFonts w:ascii="Times New Roman" w:eastAsia="Times New Roman" w:hAnsi="Times New Roman" w:cs="Times New Roman"/>
                <w:b/>
              </w:rPr>
              <w:t>Budżet Państwa</w:t>
            </w:r>
          </w:p>
        </w:tc>
        <w:tc>
          <w:tcPr>
            <w:tcW w:w="2152" w:type="dxa"/>
            <w:tcBorders>
              <w:top w:val="single" w:sz="4" w:space="0" w:color="000000"/>
              <w:left w:val="single" w:sz="4" w:space="0" w:color="000000"/>
              <w:bottom w:val="single" w:sz="4" w:space="0" w:color="000000"/>
            </w:tcBorders>
            <w:shd w:val="clear" w:color="auto" w:fill="D9D9D9"/>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Wkład własny będący wkładem krajowych środków publicznych</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187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294BD0" w:rsidRPr="004A429A" w:rsidRDefault="00294BD0">
            <w:pPr>
              <w:autoSpaceDE w:val="0"/>
              <w:spacing w:after="0" w:line="240" w:lineRule="auto"/>
              <w:jc w:val="center"/>
            </w:pPr>
            <w:r w:rsidRPr="004A429A">
              <w:rPr>
                <w:rFonts w:ascii="Times New Roman" w:eastAsia="Times New Roman" w:hAnsi="Times New Roman" w:cs="Times New Roman"/>
                <w:b/>
                <w:bCs/>
              </w:rPr>
              <w:t>Razem</w:t>
            </w:r>
          </w:p>
        </w:tc>
      </w:tr>
      <w:tr w:rsidR="00294BD0" w:rsidRPr="004A429A">
        <w:tc>
          <w:tcPr>
            <w:tcW w:w="1818" w:type="dxa"/>
            <w:tcBorders>
              <w:top w:val="single" w:sz="4" w:space="0" w:color="000000"/>
              <w:left w:val="single" w:sz="4" w:space="0" w:color="000000"/>
              <w:bottom w:val="single" w:sz="4" w:space="0" w:color="000000"/>
            </w:tcBorders>
            <w:shd w:val="clear" w:color="auto" w:fill="D9D9D9"/>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Beneficjenci inni niż jednostki sektora finansów publicznych</w:t>
            </w:r>
          </w:p>
        </w:tc>
        <w:tc>
          <w:tcPr>
            <w:tcW w:w="2062" w:type="dxa"/>
            <w:tcBorders>
              <w:top w:val="single" w:sz="4" w:space="0" w:color="000000"/>
              <w:left w:val="single" w:sz="4" w:space="0" w:color="000000"/>
              <w:bottom w:val="single" w:sz="4" w:space="0" w:color="000000"/>
            </w:tcBorders>
            <w:shd w:val="clear" w:color="auto" w:fill="auto"/>
            <w:vAlign w:val="center"/>
          </w:tcPr>
          <w:p w:rsidR="00622491" w:rsidRPr="004A429A" w:rsidRDefault="00622491" w:rsidP="00BD04CF">
            <w:pPr>
              <w:autoSpaceDE w:val="0"/>
              <w:spacing w:after="0" w:line="240" w:lineRule="auto"/>
              <w:rPr>
                <w:rFonts w:ascii="Times New Roman" w:eastAsia="Times New Roman" w:hAnsi="Times New Roman" w:cs="Times New Roman"/>
                <w:b/>
                <w:strike/>
              </w:rPr>
            </w:pPr>
          </w:p>
          <w:p w:rsidR="00294BD0" w:rsidRPr="004A429A" w:rsidRDefault="00622491">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 1 675 112,59</w:t>
            </w:r>
          </w:p>
          <w:p w:rsidR="00294BD0" w:rsidRPr="004A429A" w:rsidRDefault="00294BD0">
            <w:pPr>
              <w:autoSpaceDE w:val="0"/>
              <w:spacing w:after="0" w:line="240" w:lineRule="auto"/>
              <w:jc w:val="center"/>
              <w:rPr>
                <w:rFonts w:ascii="Times New Roman" w:eastAsia="Times New Roman" w:hAnsi="Times New Roman" w:cs="Times New Roman"/>
                <w:b/>
              </w:rPr>
            </w:pPr>
          </w:p>
          <w:p w:rsidR="00294BD0" w:rsidRPr="004A429A" w:rsidRDefault="00294BD0">
            <w:pPr>
              <w:autoSpaceDE w:val="0"/>
              <w:spacing w:after="0" w:line="240" w:lineRule="auto"/>
              <w:jc w:val="center"/>
              <w:rPr>
                <w:rFonts w:ascii="Times New Roman" w:eastAsia="Times New Roman" w:hAnsi="Times New Roman" w:cs="Times New Roman"/>
                <w:b/>
                <w:strike/>
              </w:rPr>
            </w:pPr>
          </w:p>
        </w:tc>
        <w:tc>
          <w:tcPr>
            <w:tcW w:w="2034"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pPr>
            <w:r w:rsidRPr="004A429A">
              <w:rPr>
                <w:rFonts w:ascii="Times New Roman" w:eastAsia="Times New Roman" w:hAnsi="Times New Roman" w:cs="Times New Roman"/>
                <w:b/>
              </w:rPr>
              <w:t>0,00</w:t>
            </w:r>
          </w:p>
        </w:tc>
        <w:tc>
          <w:tcPr>
            <w:tcW w:w="2152" w:type="dxa"/>
            <w:tcBorders>
              <w:top w:val="single" w:sz="4" w:space="0" w:color="000000"/>
              <w:left w:val="single" w:sz="4" w:space="0" w:color="000000"/>
              <w:bottom w:val="single" w:sz="4" w:space="0" w:color="000000"/>
            </w:tcBorders>
            <w:shd w:val="clear" w:color="auto" w:fill="auto"/>
            <w:vAlign w:val="center"/>
          </w:tcPr>
          <w:p w:rsidR="00294BD0" w:rsidRPr="004A429A" w:rsidRDefault="00EA57E7">
            <w:pPr>
              <w:autoSpaceDE w:val="0"/>
              <w:snapToGrid w:val="0"/>
              <w:spacing w:after="0" w:line="240" w:lineRule="auto"/>
              <w:jc w:val="center"/>
              <w:rPr>
                <w:rFonts w:ascii="Times New Roman" w:eastAsia="Times New Roman" w:hAnsi="Times New Roman" w:cs="Times New Roman"/>
                <w:b/>
                <w:lang w:val="pl-PL"/>
              </w:rPr>
            </w:pPr>
            <w:r w:rsidRPr="004A429A">
              <w:rPr>
                <w:noProof/>
              </w:rPr>
              <mc:AlternateContent>
                <mc:Choice Requires="wps">
                  <w:drawing>
                    <wp:anchor distT="0" distB="0" distL="114300" distR="114300" simplePos="0" relativeHeight="251658240" behindDoc="0" locked="0" layoutInCell="1" allowOverlap="1">
                      <wp:simplePos x="0" y="0"/>
                      <wp:positionH relativeFrom="margin">
                        <wp:posOffset>-41910</wp:posOffset>
                      </wp:positionH>
                      <wp:positionV relativeFrom="paragraph">
                        <wp:posOffset>29210</wp:posOffset>
                      </wp:positionV>
                      <wp:extent cx="1344930" cy="601980"/>
                      <wp:effectExtent l="5715" t="10160" r="11430" b="69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6019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5D1F76" id="_x0000_t32" coordsize="21600,21600" o:spt="32" o:oned="t" path="m,l21600,21600e" filled="f">
                      <v:path arrowok="t" fillok="f" o:connecttype="none"/>
                      <o:lock v:ext="edit" shapetype="t"/>
                    </v:shapetype>
                    <v:shape id="AutoShape 19" o:spid="_x0000_s1026" type="#_x0000_t32" style="position:absolute;margin-left:-3.3pt;margin-top:2.3pt;width:105.9pt;height:4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" strokeweight=".26mm">
                      <v:stroke joinstyle="miter" endcap="square"/>
                      <w10:wrap anchorx="margin"/>
                    </v:shape>
                  </w:pict>
                </mc:Fallback>
              </mc:AlternateContent>
            </w:r>
            <w:r w:rsidRPr="004A429A">
              <w:rPr>
                <w:noProof/>
              </w:rPr>
              <mc:AlternateContent>
                <mc:Choice Requires="wps">
                  <w:drawing>
                    <wp:anchor distT="0" distB="0" distL="114300" distR="114300" simplePos="0" relativeHeight="251659264" behindDoc="0" locked="0" layoutInCell="1" allowOverlap="1">
                      <wp:simplePos x="0" y="0"/>
                      <wp:positionH relativeFrom="margin">
                        <wp:posOffset>-40640</wp:posOffset>
                      </wp:positionH>
                      <wp:positionV relativeFrom="paragraph">
                        <wp:posOffset>19050</wp:posOffset>
                      </wp:positionV>
                      <wp:extent cx="1344930" cy="647700"/>
                      <wp:effectExtent l="6985" t="9525" r="1016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4930" cy="6477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9C9CBA" id="AutoShape 20" o:spid="_x0000_s1026" type="#_x0000_t32" style="position:absolute;margin-left:-3.2pt;margin-top:1.5pt;width:105.9pt;height:51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" strokeweight=".26mm">
                      <v:stroke joinstyle="miter" endcap="square"/>
                      <w10:wrap anchorx="margin"/>
                    </v:shape>
                  </w:pict>
                </mc:Fallback>
              </mc:AlternateConten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autoSpaceDE w:val="0"/>
              <w:snapToGrid w:val="0"/>
              <w:spacing w:after="0" w:line="240" w:lineRule="auto"/>
              <w:rPr>
                <w:rFonts w:ascii="Times New Roman" w:eastAsia="Times New Roman" w:hAnsi="Times New Roman" w:cs="Times New Roman"/>
                <w:b/>
                <w:strike/>
              </w:rPr>
            </w:pPr>
          </w:p>
          <w:p w:rsidR="00294BD0" w:rsidRPr="004A429A" w:rsidRDefault="00294BD0" w:rsidP="00BD04CF">
            <w:pPr>
              <w:autoSpaceDE w:val="0"/>
              <w:spacing w:after="0" w:line="240" w:lineRule="auto"/>
              <w:rPr>
                <w:rFonts w:ascii="Times New Roman" w:eastAsia="Times New Roman" w:hAnsi="Times New Roman" w:cs="Times New Roman"/>
                <w:b/>
                <w:strike/>
              </w:rPr>
            </w:pPr>
          </w:p>
          <w:p w:rsidR="00294BD0" w:rsidRPr="004A429A" w:rsidRDefault="00622491">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1 675 112,59</w:t>
            </w:r>
          </w:p>
        </w:tc>
      </w:tr>
      <w:tr w:rsidR="00294BD0" w:rsidRPr="004A429A">
        <w:tc>
          <w:tcPr>
            <w:tcW w:w="1818" w:type="dxa"/>
            <w:tcBorders>
              <w:top w:val="single" w:sz="4" w:space="0" w:color="000000"/>
              <w:left w:val="single" w:sz="4" w:space="0" w:color="000000"/>
              <w:bottom w:val="single" w:sz="4" w:space="0" w:color="000000"/>
            </w:tcBorders>
            <w:shd w:val="clear" w:color="auto" w:fill="D9D9D9"/>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Beneficjenci będący jednostkami sektora finansów publicznych</w:t>
            </w:r>
          </w:p>
        </w:tc>
        <w:tc>
          <w:tcPr>
            <w:tcW w:w="206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773 987,31</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2034" w:type="dxa"/>
            <w:tcBorders>
              <w:top w:val="single" w:sz="4" w:space="0" w:color="000000"/>
              <w:left w:val="single" w:sz="4" w:space="0" w:color="000000"/>
              <w:bottom w:val="single" w:sz="4" w:space="0" w:color="000000"/>
            </w:tcBorders>
            <w:shd w:val="clear" w:color="auto" w:fill="auto"/>
            <w:vAlign w:val="center"/>
          </w:tcPr>
          <w:p w:rsidR="00294BD0" w:rsidRPr="004A429A" w:rsidRDefault="00EA57E7">
            <w:pPr>
              <w:autoSpaceDE w:val="0"/>
              <w:snapToGrid w:val="0"/>
              <w:spacing w:after="0" w:line="240" w:lineRule="auto"/>
              <w:jc w:val="center"/>
              <w:rPr>
                <w:rFonts w:ascii="Times New Roman" w:eastAsia="Times New Roman" w:hAnsi="Times New Roman" w:cs="Times New Roman"/>
                <w:b/>
                <w:lang w:val="pl-PL"/>
              </w:rPr>
            </w:pPr>
            <w:r w:rsidRPr="004A429A">
              <w:rPr>
                <w:noProof/>
              </w:rPr>
              <mc:AlternateContent>
                <mc:Choice Requires="wps">
                  <w:drawing>
                    <wp:anchor distT="0" distB="0" distL="114300" distR="114300" simplePos="0" relativeHeight="251660288" behindDoc="0" locked="0" layoutInCell="1" allowOverlap="1">
                      <wp:simplePos x="0" y="0"/>
                      <wp:positionH relativeFrom="margin">
                        <wp:posOffset>-13335</wp:posOffset>
                      </wp:positionH>
                      <wp:positionV relativeFrom="paragraph">
                        <wp:posOffset>14605</wp:posOffset>
                      </wp:positionV>
                      <wp:extent cx="1271905" cy="838200"/>
                      <wp:effectExtent l="5715" t="5080" r="8255" b="1397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8382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DCB52A" id="AutoShape 21" o:spid="_x0000_s1026" type="#_x0000_t32" style="position:absolute;margin-left:-1.05pt;margin-top:1.15pt;width:100.1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" strokeweight=".26mm">
                      <v:stroke joinstyle="miter" endcap="square"/>
                      <w10:wrap anchorx="margin"/>
                    </v:shape>
                  </w:pict>
                </mc:Fallback>
              </mc:AlternateContent>
            </w:r>
            <w:r w:rsidRPr="004A429A">
              <w:rPr>
                <w:noProof/>
              </w:rPr>
              <mc:AlternateContent>
                <mc:Choice Requires="wps">
                  <w:drawing>
                    <wp:anchor distT="0" distB="0" distL="114300" distR="114300" simplePos="0" relativeHeight="251661312" behindDoc="0" locked="0" layoutInCell="1" allowOverlap="1">
                      <wp:simplePos x="0" y="0"/>
                      <wp:positionH relativeFrom="margin">
                        <wp:posOffset>-36195</wp:posOffset>
                      </wp:positionH>
                      <wp:positionV relativeFrom="paragraph">
                        <wp:posOffset>19050</wp:posOffset>
                      </wp:positionV>
                      <wp:extent cx="1291590" cy="746125"/>
                      <wp:effectExtent l="11430" t="9525" r="11430" b="63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1590" cy="74612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669B06" id="AutoShape 22" o:spid="_x0000_s1026" type="#_x0000_t32" style="position:absolute;margin-left:-2.85pt;margin-top:1.5pt;width:101.7pt;height:58.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" strokeweight=".26mm">
                      <v:stroke joinstyle="miter" endcap="square"/>
                      <w10:wrap anchorx="margin"/>
                    </v:shape>
                  </w:pict>
                </mc:Fallback>
              </mc:AlternateContent>
            </w:r>
          </w:p>
        </w:tc>
        <w:tc>
          <w:tcPr>
            <w:tcW w:w="215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442 400,10</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hAnsi="Times New Roman" w:cs="Times New Roman"/>
                <w:b/>
                <w:lang w:val="en-US" w:eastAsia="en-US" w:bidi="en-US"/>
              </w:rPr>
              <w:t>1 216 387,41</w:t>
            </w:r>
          </w:p>
          <w:p w:rsidR="00294BD0" w:rsidRPr="004A429A" w:rsidRDefault="00294BD0">
            <w:pPr>
              <w:autoSpaceDE w:val="0"/>
              <w:spacing w:after="0" w:line="240" w:lineRule="auto"/>
              <w:rPr>
                <w:rFonts w:ascii="Times New Roman" w:eastAsia="Times New Roman" w:hAnsi="Times New Roman" w:cs="Times New Roman"/>
                <w:b/>
              </w:rPr>
            </w:pPr>
          </w:p>
        </w:tc>
      </w:tr>
      <w:tr w:rsidR="00294BD0" w:rsidRPr="004A429A">
        <w:tc>
          <w:tcPr>
            <w:tcW w:w="1818" w:type="dxa"/>
            <w:tcBorders>
              <w:top w:val="single" w:sz="4" w:space="0" w:color="000000"/>
              <w:left w:val="single" w:sz="4" w:space="0" w:color="000000"/>
              <w:bottom w:val="single" w:sz="4" w:space="0" w:color="000000"/>
            </w:tcBorders>
            <w:shd w:val="clear" w:color="auto" w:fill="7F7F7F"/>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Razem</w:t>
            </w:r>
          </w:p>
        </w:tc>
        <w:tc>
          <w:tcPr>
            <w:tcW w:w="2062" w:type="dxa"/>
            <w:tcBorders>
              <w:top w:val="single" w:sz="4" w:space="0" w:color="000000"/>
              <w:left w:val="single" w:sz="4" w:space="0" w:color="000000"/>
              <w:bottom w:val="single" w:sz="4" w:space="0" w:color="000000"/>
            </w:tcBorders>
            <w:shd w:val="clear" w:color="auto" w:fill="auto"/>
            <w:vAlign w:val="center"/>
          </w:tcPr>
          <w:p w:rsidR="00622491" w:rsidRPr="004A429A" w:rsidRDefault="00622491">
            <w:pPr>
              <w:autoSpaceDE w:val="0"/>
              <w:spacing w:after="0" w:line="240" w:lineRule="auto"/>
              <w:jc w:val="center"/>
              <w:rPr>
                <w:rFonts w:ascii="Times New Roman" w:eastAsia="Times New Roman" w:hAnsi="Times New Roman" w:cs="Times New Roman"/>
                <w:b/>
                <w:strike/>
              </w:rPr>
            </w:pPr>
          </w:p>
          <w:p w:rsidR="00294BD0" w:rsidRPr="004A429A" w:rsidRDefault="00622491">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2 449 099,99</w:t>
            </w:r>
          </w:p>
          <w:p w:rsidR="00294BD0" w:rsidRPr="004A429A" w:rsidRDefault="00294BD0">
            <w:pPr>
              <w:autoSpaceDE w:val="0"/>
              <w:spacing w:after="0" w:line="240" w:lineRule="auto"/>
              <w:jc w:val="center"/>
              <w:rPr>
                <w:rFonts w:ascii="Times New Roman" w:eastAsia="Times New Roman" w:hAnsi="Times New Roman" w:cs="Times New Roman"/>
                <w:b/>
              </w:rPr>
            </w:pPr>
          </w:p>
        </w:tc>
        <w:tc>
          <w:tcPr>
            <w:tcW w:w="2034"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0,00</w:t>
            </w:r>
          </w:p>
        </w:tc>
        <w:tc>
          <w:tcPr>
            <w:tcW w:w="2152" w:type="dxa"/>
            <w:tcBorders>
              <w:top w:val="single" w:sz="4" w:space="0" w:color="000000"/>
              <w:left w:val="single" w:sz="4" w:space="0" w:color="000000"/>
              <w:bottom w:val="single" w:sz="4" w:space="0" w:color="000000"/>
            </w:tcBorders>
            <w:shd w:val="clear" w:color="auto" w:fill="auto"/>
            <w:vAlign w:val="center"/>
          </w:tcPr>
          <w:p w:rsidR="00294BD0" w:rsidRPr="004A429A" w:rsidRDefault="00294BD0">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442 400,10</w:t>
            </w:r>
          </w:p>
          <w:p w:rsidR="00294BD0" w:rsidRPr="004A429A" w:rsidRDefault="00294BD0">
            <w:pPr>
              <w:autoSpaceDE w:val="0"/>
              <w:spacing w:after="0" w:line="240" w:lineRule="auto"/>
              <w:rPr>
                <w:rFonts w:ascii="Times New Roman" w:eastAsia="Times New Roman" w:hAnsi="Times New Roman" w:cs="Times New Roman"/>
                <w:b/>
                <w:strik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491" w:rsidRPr="004A429A" w:rsidRDefault="00622491" w:rsidP="00BD04CF">
            <w:pPr>
              <w:autoSpaceDE w:val="0"/>
              <w:spacing w:after="0" w:line="240" w:lineRule="auto"/>
              <w:rPr>
                <w:rFonts w:ascii="Times New Roman" w:eastAsia="Times New Roman" w:hAnsi="Times New Roman" w:cs="Times New Roman"/>
                <w:b/>
                <w:strike/>
              </w:rPr>
            </w:pPr>
          </w:p>
          <w:p w:rsidR="00294BD0" w:rsidRPr="004A429A" w:rsidRDefault="00622491">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2 891 500,00</w:t>
            </w:r>
          </w:p>
          <w:p w:rsidR="00294BD0" w:rsidRPr="004A429A" w:rsidRDefault="00294BD0">
            <w:pPr>
              <w:autoSpaceDE w:val="0"/>
              <w:spacing w:after="0" w:line="240" w:lineRule="auto"/>
              <w:jc w:val="center"/>
              <w:rPr>
                <w:rFonts w:ascii="Times New Roman" w:eastAsia="Times New Roman" w:hAnsi="Times New Roman" w:cs="Times New Roman"/>
                <w:b/>
                <w:strike/>
              </w:rPr>
            </w:pPr>
          </w:p>
        </w:tc>
      </w:tr>
    </w:tbl>
    <w:p w:rsidR="00294BD0" w:rsidRPr="004A429A" w:rsidRDefault="00294BD0">
      <w:pPr>
        <w:spacing w:after="0" w:line="240" w:lineRule="auto"/>
        <w:rPr>
          <w:rFonts w:ascii="Times New Roman" w:hAnsi="Times New Roman" w:cs="Times New Roman"/>
        </w:rPr>
      </w:pPr>
    </w:p>
    <w:p w:rsidR="00294BD0" w:rsidRPr="004A429A" w:rsidRDefault="00294BD0">
      <w:pPr>
        <w:rPr>
          <w:rFonts w:ascii="Times New Roman" w:hAnsi="Times New Roman" w:cs="Times New Roman"/>
        </w:rPr>
      </w:pPr>
    </w:p>
    <w:p w:rsidR="00294BD0" w:rsidRPr="004A429A" w:rsidRDefault="00294BD0">
      <w:pPr>
        <w:tabs>
          <w:tab w:val="left" w:pos="1500"/>
        </w:tabs>
        <w:rPr>
          <w:rFonts w:ascii="Times New Roman" w:hAnsi="Times New Roman" w:cs="Times New Roman"/>
        </w:rPr>
      </w:pPr>
      <w:r w:rsidRPr="004A429A">
        <w:rPr>
          <w:rFonts w:ascii="Times New Roman" w:hAnsi="Times New Roman" w:cs="Times New Roman"/>
        </w:rPr>
        <w:tab/>
      </w:r>
    </w:p>
    <w:p w:rsidR="00294BD0" w:rsidRPr="004A429A" w:rsidRDefault="00294BD0">
      <w:pPr>
        <w:tabs>
          <w:tab w:val="left" w:pos="1500"/>
        </w:tabs>
        <w:rPr>
          <w:rFonts w:ascii="Times New Roman" w:hAnsi="Times New Roman" w:cs="Times New Roman"/>
          <w:b/>
        </w:rPr>
        <w:sectPr w:rsidR="00294BD0" w:rsidRPr="004A429A">
          <w:footerReference w:type="default" r:id="rId29"/>
          <w:pgSz w:w="11906" w:h="17338"/>
          <w:pgMar w:top="1418" w:right="851" w:bottom="851" w:left="851" w:header="708" w:footer="708" w:gutter="0"/>
          <w:cols w:space="708"/>
          <w:docGrid w:linePitch="600" w:charSpace="36864"/>
        </w:sectPr>
      </w:pPr>
      <w:r w:rsidRPr="004A429A">
        <w:rPr>
          <w:rFonts w:ascii="Times New Roman" w:hAnsi="Times New Roman" w:cs="Times New Roman"/>
        </w:rPr>
        <w:tab/>
      </w:r>
    </w:p>
    <w:p w:rsidR="00294BD0" w:rsidRDefault="00294BD0">
      <w:pPr>
        <w:tabs>
          <w:tab w:val="left" w:pos="1770"/>
        </w:tabs>
        <w:spacing w:after="0"/>
        <w:rPr>
          <w:rFonts w:ascii="Cambria" w:eastAsia="Times New Roman" w:hAnsi="Cambria" w:cs="Cambria"/>
          <w:sz w:val="24"/>
          <w:szCs w:val="24"/>
        </w:rPr>
      </w:pPr>
      <w:r>
        <w:rPr>
          <w:rFonts w:ascii="Times New Roman" w:hAnsi="Times New Roman" w:cs="Times New Roman"/>
          <w:b/>
        </w:rPr>
        <w:t>Załącznik nr 5 Plan komunikacji</w:t>
      </w:r>
    </w:p>
    <w:p w:rsidR="00294BD0" w:rsidRDefault="00294BD0">
      <w:pPr>
        <w:spacing w:after="0"/>
        <w:rPr>
          <w:rFonts w:ascii="Cambria" w:eastAsia="Times New Roman" w:hAnsi="Cambria" w:cs="Cambria"/>
          <w:sz w:val="24"/>
          <w:szCs w:val="24"/>
        </w:rPr>
      </w:pPr>
    </w:p>
    <w:tbl>
      <w:tblPr>
        <w:tblW w:w="15305" w:type="dxa"/>
        <w:tblInd w:w="269" w:type="dxa"/>
        <w:tblLayout w:type="fixed"/>
        <w:tblLook w:val="0000" w:firstRow="0" w:lastRow="0" w:firstColumn="0" w:lastColumn="0" w:noHBand="0" w:noVBand="0"/>
      </w:tblPr>
      <w:tblGrid>
        <w:gridCol w:w="1100"/>
        <w:gridCol w:w="866"/>
        <w:gridCol w:w="1984"/>
        <w:gridCol w:w="1559"/>
        <w:gridCol w:w="1701"/>
        <w:gridCol w:w="709"/>
        <w:gridCol w:w="709"/>
        <w:gridCol w:w="709"/>
        <w:gridCol w:w="708"/>
        <w:gridCol w:w="709"/>
        <w:gridCol w:w="709"/>
        <w:gridCol w:w="709"/>
        <w:gridCol w:w="708"/>
        <w:gridCol w:w="709"/>
        <w:gridCol w:w="519"/>
        <w:gridCol w:w="615"/>
        <w:gridCol w:w="582"/>
      </w:tblGrid>
      <w:tr w:rsidR="00294BD0" w:rsidTr="00BA2BBD">
        <w:trPr>
          <w:trHeight w:val="231"/>
        </w:trPr>
        <w:tc>
          <w:tcPr>
            <w:tcW w:w="1966" w:type="dxa"/>
            <w:gridSpan w:val="2"/>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sz w:val="20"/>
                <w:szCs w:val="20"/>
              </w:rPr>
            </w:pPr>
            <w:r w:rsidRPr="00906A86">
              <w:rPr>
                <w:rFonts w:ascii="Times New Roman" w:hAnsi="Times New Roman" w:cs="Times New Roman"/>
                <w:b/>
                <w:sz w:val="20"/>
                <w:szCs w:val="20"/>
              </w:rPr>
              <w:t>Środki przekazu</w:t>
            </w:r>
          </w:p>
        </w:tc>
        <w:tc>
          <w:tcPr>
            <w:tcW w:w="1984" w:type="dxa"/>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color w:val="000000"/>
                <w:sz w:val="20"/>
                <w:szCs w:val="20"/>
              </w:rPr>
            </w:pPr>
            <w:r w:rsidRPr="00906A86">
              <w:rPr>
                <w:rFonts w:ascii="Times New Roman" w:hAnsi="Times New Roman" w:cs="Times New Roman"/>
                <w:b/>
                <w:sz w:val="20"/>
                <w:szCs w:val="20"/>
              </w:rPr>
              <w:t xml:space="preserve">Adresaci działania komunikacyjnego </w:t>
            </w:r>
          </w:p>
        </w:tc>
        <w:tc>
          <w:tcPr>
            <w:tcW w:w="1559" w:type="dxa"/>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color w:val="000000"/>
                <w:sz w:val="20"/>
                <w:szCs w:val="20"/>
              </w:rPr>
            </w:pPr>
            <w:r w:rsidRPr="00906A86">
              <w:rPr>
                <w:rFonts w:ascii="Times New Roman" w:hAnsi="Times New Roman" w:cs="Times New Roman"/>
                <w:b/>
                <w:color w:val="000000"/>
                <w:sz w:val="20"/>
                <w:szCs w:val="20"/>
              </w:rPr>
              <w:t>Nazwa działania komunikacyjnego</w:t>
            </w:r>
          </w:p>
        </w:tc>
        <w:tc>
          <w:tcPr>
            <w:tcW w:w="1701" w:type="dxa"/>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sz w:val="20"/>
                <w:szCs w:val="20"/>
              </w:rPr>
            </w:pPr>
            <w:r w:rsidRPr="00906A86">
              <w:rPr>
                <w:rFonts w:ascii="Times New Roman" w:hAnsi="Times New Roman" w:cs="Times New Roman"/>
                <w:b/>
                <w:color w:val="000000"/>
                <w:sz w:val="20"/>
                <w:szCs w:val="20"/>
              </w:rPr>
              <w:t>Nazwa wskaźnika</w:t>
            </w:r>
          </w:p>
        </w:tc>
        <w:tc>
          <w:tcPr>
            <w:tcW w:w="709" w:type="dxa"/>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sz w:val="20"/>
                <w:szCs w:val="20"/>
              </w:rPr>
            </w:pPr>
            <w:r w:rsidRPr="00906A86">
              <w:rPr>
                <w:rFonts w:ascii="Times New Roman" w:hAnsi="Times New Roman" w:cs="Times New Roman"/>
                <w:b/>
                <w:sz w:val="20"/>
                <w:szCs w:val="20"/>
              </w:rPr>
              <w:t>Budżet</w:t>
            </w:r>
          </w:p>
        </w:tc>
        <w:tc>
          <w:tcPr>
            <w:tcW w:w="709" w:type="dxa"/>
            <w:vMerge w:val="restart"/>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sz w:val="20"/>
                <w:szCs w:val="20"/>
              </w:rPr>
            </w:pPr>
            <w:r w:rsidRPr="00906A86">
              <w:rPr>
                <w:rFonts w:ascii="Times New Roman" w:hAnsi="Times New Roman" w:cs="Times New Roman"/>
                <w:b/>
                <w:sz w:val="20"/>
                <w:szCs w:val="20"/>
              </w:rPr>
              <w:t>Stan docelowy</w:t>
            </w:r>
          </w:p>
        </w:tc>
        <w:tc>
          <w:tcPr>
            <w:tcW w:w="6095" w:type="dxa"/>
            <w:gridSpan w:val="9"/>
            <w:tcBorders>
              <w:top w:val="single" w:sz="4" w:space="0" w:color="000000"/>
              <w:left w:val="single" w:sz="4" w:space="0" w:color="000000"/>
              <w:bottom w:val="single" w:sz="4" w:space="0" w:color="000000"/>
            </w:tcBorders>
            <w:shd w:val="clear" w:color="auto" w:fill="auto"/>
          </w:tcPr>
          <w:p w:rsidR="00294BD0" w:rsidRPr="00906A86" w:rsidRDefault="00294BD0">
            <w:pPr>
              <w:spacing w:after="0" w:line="240" w:lineRule="auto"/>
              <w:jc w:val="center"/>
              <w:rPr>
                <w:rFonts w:ascii="Times New Roman" w:hAnsi="Times New Roman" w:cs="Times New Roman"/>
                <w:b/>
                <w:sz w:val="20"/>
                <w:szCs w:val="20"/>
              </w:rPr>
            </w:pPr>
            <w:r w:rsidRPr="00906A86">
              <w:rPr>
                <w:rFonts w:ascii="Times New Roman" w:hAnsi="Times New Roman" w:cs="Times New Roman"/>
                <w:b/>
                <w:sz w:val="20"/>
                <w:szCs w:val="20"/>
              </w:rPr>
              <w:t>Okres realizacji LSR</w:t>
            </w: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94BD0" w:rsidRPr="00906A86" w:rsidRDefault="00294BD0">
            <w:pPr>
              <w:spacing w:after="0" w:line="240" w:lineRule="auto"/>
              <w:jc w:val="center"/>
              <w:rPr>
                <w:sz w:val="18"/>
                <w:szCs w:val="18"/>
              </w:rPr>
            </w:pPr>
            <w:r w:rsidRPr="00906A86">
              <w:rPr>
                <w:rFonts w:ascii="Times New Roman" w:hAnsi="Times New Roman" w:cs="Times New Roman"/>
                <w:b/>
                <w:sz w:val="18"/>
                <w:szCs w:val="18"/>
              </w:rPr>
              <w:t>Rezultaty działań</w:t>
            </w:r>
          </w:p>
        </w:tc>
      </w:tr>
      <w:tr w:rsidR="00BA06A2" w:rsidTr="00BA2BBD">
        <w:trPr>
          <w:trHeight w:val="231"/>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FF0000"/>
                <w:sz w:val="20"/>
                <w:szCs w:val="20"/>
              </w:rPr>
            </w:pPr>
          </w:p>
        </w:tc>
        <w:tc>
          <w:tcPr>
            <w:tcW w:w="1984" w:type="dxa"/>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000000"/>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000000"/>
                <w:sz w:val="20"/>
                <w:szCs w:val="20"/>
              </w:rPr>
            </w:pPr>
          </w:p>
        </w:tc>
        <w:tc>
          <w:tcPr>
            <w:tcW w:w="1701" w:type="dxa"/>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000000"/>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FF0000"/>
                <w:sz w:val="20"/>
                <w:szCs w:val="20"/>
              </w:rPr>
            </w:pPr>
          </w:p>
        </w:tc>
        <w:tc>
          <w:tcPr>
            <w:tcW w:w="709" w:type="dxa"/>
            <w:vMerge/>
            <w:tcBorders>
              <w:top w:val="single" w:sz="4" w:space="0" w:color="000000"/>
              <w:left w:val="single" w:sz="4" w:space="0" w:color="000000"/>
              <w:bottom w:val="single" w:sz="4" w:space="0" w:color="000000"/>
            </w:tcBorders>
            <w:shd w:val="clear" w:color="auto" w:fill="auto"/>
          </w:tcPr>
          <w:p w:rsidR="00BA06A2" w:rsidRPr="00906A86" w:rsidRDefault="00BA06A2">
            <w:pPr>
              <w:snapToGrid w:val="0"/>
              <w:spacing w:after="0" w:line="240" w:lineRule="auto"/>
              <w:jc w:val="center"/>
              <w:rPr>
                <w:rFonts w:ascii="Times New Roman" w:hAnsi="Times New Roman" w:cs="Times New Roman"/>
                <w:b/>
                <w:color w:val="FF0000"/>
                <w:sz w:val="20"/>
                <w:szCs w:val="20"/>
              </w:rPr>
            </w:pPr>
          </w:p>
        </w:tc>
        <w:tc>
          <w:tcPr>
            <w:tcW w:w="709"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sz w:val="20"/>
                <w:szCs w:val="20"/>
              </w:rPr>
            </w:pPr>
            <w:r w:rsidRPr="00906A86">
              <w:rPr>
                <w:rFonts w:ascii="Times New Roman" w:hAnsi="Times New Roman" w:cs="Times New Roman"/>
                <w:b/>
                <w:sz w:val="20"/>
                <w:szCs w:val="20"/>
              </w:rPr>
              <w:t>2016</w:t>
            </w:r>
          </w:p>
        </w:tc>
        <w:tc>
          <w:tcPr>
            <w:tcW w:w="708"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sz w:val="20"/>
                <w:szCs w:val="20"/>
              </w:rPr>
            </w:pPr>
            <w:r w:rsidRPr="00906A86">
              <w:rPr>
                <w:rFonts w:ascii="Times New Roman" w:hAnsi="Times New Roman" w:cs="Times New Roman"/>
                <w:b/>
                <w:sz w:val="20"/>
                <w:szCs w:val="20"/>
              </w:rPr>
              <w:t>2017</w:t>
            </w:r>
          </w:p>
        </w:tc>
        <w:tc>
          <w:tcPr>
            <w:tcW w:w="709"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sz w:val="20"/>
                <w:szCs w:val="20"/>
              </w:rPr>
            </w:pPr>
            <w:r w:rsidRPr="00906A86">
              <w:rPr>
                <w:rFonts w:ascii="Times New Roman" w:hAnsi="Times New Roman" w:cs="Times New Roman"/>
                <w:b/>
                <w:sz w:val="20"/>
                <w:szCs w:val="20"/>
              </w:rPr>
              <w:t>2018</w:t>
            </w:r>
          </w:p>
        </w:tc>
        <w:tc>
          <w:tcPr>
            <w:tcW w:w="709"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sz w:val="20"/>
                <w:szCs w:val="20"/>
              </w:rPr>
            </w:pPr>
            <w:r w:rsidRPr="00906A86">
              <w:rPr>
                <w:rFonts w:ascii="Times New Roman" w:hAnsi="Times New Roman" w:cs="Times New Roman"/>
                <w:b/>
                <w:sz w:val="20"/>
                <w:szCs w:val="20"/>
              </w:rPr>
              <w:t>2019</w:t>
            </w:r>
          </w:p>
        </w:tc>
        <w:tc>
          <w:tcPr>
            <w:tcW w:w="709"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color w:val="000000"/>
                <w:sz w:val="20"/>
                <w:szCs w:val="20"/>
              </w:rPr>
            </w:pPr>
            <w:r w:rsidRPr="00906A86">
              <w:rPr>
                <w:rFonts w:ascii="Times New Roman" w:hAnsi="Times New Roman" w:cs="Times New Roman"/>
                <w:b/>
                <w:sz w:val="20"/>
                <w:szCs w:val="20"/>
              </w:rPr>
              <w:t>2020</w:t>
            </w:r>
          </w:p>
        </w:tc>
        <w:tc>
          <w:tcPr>
            <w:tcW w:w="708" w:type="dxa"/>
            <w:tcBorders>
              <w:top w:val="single" w:sz="4" w:space="0" w:color="000000"/>
              <w:left w:val="single" w:sz="4" w:space="0" w:color="000000"/>
              <w:bottom w:val="single" w:sz="4" w:space="0" w:color="000000"/>
            </w:tcBorders>
            <w:shd w:val="clear" w:color="auto" w:fill="auto"/>
          </w:tcPr>
          <w:p w:rsidR="00BA06A2" w:rsidRPr="00906A86" w:rsidRDefault="00BA06A2" w:rsidP="00BA06A2">
            <w:pPr>
              <w:spacing w:after="0" w:line="240" w:lineRule="auto"/>
              <w:rPr>
                <w:rFonts w:ascii="Times New Roman" w:hAnsi="Times New Roman" w:cs="Times New Roman"/>
                <w:b/>
                <w:color w:val="000000"/>
                <w:sz w:val="20"/>
                <w:szCs w:val="20"/>
              </w:rPr>
            </w:pPr>
            <w:r w:rsidRPr="00906A86">
              <w:rPr>
                <w:rFonts w:ascii="Times New Roman" w:hAnsi="Times New Roman" w:cs="Times New Roman"/>
                <w:b/>
                <w:color w:val="000000"/>
                <w:sz w:val="20"/>
                <w:szCs w:val="20"/>
              </w:rPr>
              <w:t>2021</w:t>
            </w:r>
          </w:p>
        </w:tc>
        <w:tc>
          <w:tcPr>
            <w:tcW w:w="709" w:type="dxa"/>
            <w:tcBorders>
              <w:top w:val="single" w:sz="4" w:space="0" w:color="000000"/>
              <w:left w:val="single" w:sz="4" w:space="0" w:color="000000"/>
              <w:bottom w:val="single" w:sz="4" w:space="0" w:color="000000"/>
            </w:tcBorders>
            <w:shd w:val="clear" w:color="auto" w:fill="auto"/>
          </w:tcPr>
          <w:p w:rsidR="00BA06A2" w:rsidRDefault="00BA06A2" w:rsidP="00906A86">
            <w:pPr>
              <w:spacing w:after="0" w:line="240" w:lineRule="auto"/>
              <w:rPr>
                <w:rFonts w:ascii="Times New Roman" w:hAnsi="Times New Roman" w:cs="Times New Roman"/>
                <w:b/>
                <w:color w:val="000000"/>
                <w:sz w:val="20"/>
                <w:szCs w:val="20"/>
              </w:rPr>
            </w:pPr>
            <w:r w:rsidRPr="00906A86">
              <w:rPr>
                <w:rFonts w:ascii="Times New Roman" w:hAnsi="Times New Roman" w:cs="Times New Roman"/>
                <w:b/>
                <w:color w:val="000000"/>
                <w:sz w:val="20"/>
                <w:szCs w:val="20"/>
              </w:rPr>
              <w:t>2022</w:t>
            </w:r>
          </w:p>
          <w:p w:rsidR="00BA06A2" w:rsidRDefault="00BA06A2">
            <w:pPr>
              <w:spacing w:after="0" w:line="240" w:lineRule="auto"/>
              <w:jc w:val="center"/>
              <w:rPr>
                <w:rFonts w:ascii="Times New Roman" w:hAnsi="Times New Roman" w:cs="Times New Roman"/>
                <w:b/>
                <w:color w:val="000000"/>
                <w:sz w:val="20"/>
                <w:szCs w:val="20"/>
              </w:rPr>
            </w:pPr>
          </w:p>
        </w:tc>
        <w:tc>
          <w:tcPr>
            <w:tcW w:w="519" w:type="dxa"/>
            <w:tcBorders>
              <w:top w:val="single" w:sz="4" w:space="0" w:color="000000"/>
              <w:left w:val="single" w:sz="4" w:space="0" w:color="000000"/>
              <w:bottom w:val="single" w:sz="4" w:space="0" w:color="000000"/>
            </w:tcBorders>
            <w:shd w:val="clear" w:color="auto" w:fill="auto"/>
          </w:tcPr>
          <w:p w:rsidR="00BA06A2" w:rsidRDefault="00BA06A2" w:rsidP="00BA2BBD">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2023</w:t>
            </w:r>
          </w:p>
        </w:tc>
        <w:tc>
          <w:tcPr>
            <w:tcW w:w="615" w:type="dxa"/>
            <w:tcBorders>
              <w:top w:val="single" w:sz="4" w:space="0" w:color="000000"/>
              <w:left w:val="single" w:sz="4" w:space="0" w:color="000000"/>
              <w:bottom w:val="single" w:sz="4" w:space="0" w:color="000000"/>
            </w:tcBorders>
            <w:shd w:val="clear" w:color="auto" w:fill="auto"/>
          </w:tcPr>
          <w:p w:rsidR="00BA06A2" w:rsidRPr="00906A86" w:rsidRDefault="00BA06A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2024</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center"/>
              <w:rPr>
                <w:rFonts w:ascii="Times New Roman" w:hAnsi="Times New Roman" w:cs="Times New Roman"/>
                <w:b/>
              </w:rPr>
            </w:pPr>
          </w:p>
        </w:tc>
      </w:tr>
      <w:tr w:rsidR="00294BD0" w:rsidTr="00BA2BBD">
        <w:trPr>
          <w:trHeight w:val="231"/>
        </w:trPr>
        <w:tc>
          <w:tcPr>
            <w:tcW w:w="1100" w:type="dxa"/>
            <w:tcBorders>
              <w:top w:val="single" w:sz="4" w:space="0" w:color="000000"/>
              <w:left w:val="single" w:sz="4" w:space="0" w:color="000000"/>
              <w:bottom w:val="single" w:sz="4" w:space="0" w:color="000000"/>
            </w:tcBorders>
            <w:shd w:val="clear" w:color="auto" w:fill="auto"/>
          </w:tcPr>
          <w:p w:rsidR="00294BD0" w:rsidRDefault="00294BD0">
            <w:pPr>
              <w:snapToGrid w:val="0"/>
              <w:spacing w:after="0" w:line="240" w:lineRule="auto"/>
              <w:jc w:val="center"/>
              <w:rPr>
                <w:rFonts w:ascii="Times New Roman" w:hAnsi="Times New Roman" w:cs="Times New Roman"/>
                <w:b/>
                <w:color w:val="000000"/>
              </w:rPr>
            </w:pPr>
          </w:p>
        </w:tc>
        <w:tc>
          <w:tcPr>
            <w:tcW w:w="866" w:type="dxa"/>
            <w:tcBorders>
              <w:top w:val="single" w:sz="4" w:space="0" w:color="000000"/>
              <w:left w:val="single" w:sz="4" w:space="0" w:color="000000"/>
              <w:bottom w:val="single" w:sz="4" w:space="0" w:color="000000"/>
            </w:tcBorders>
            <w:shd w:val="clear" w:color="auto" w:fill="auto"/>
          </w:tcPr>
          <w:p w:rsidR="00294BD0" w:rsidRDefault="00294BD0">
            <w:pPr>
              <w:snapToGrid w:val="0"/>
              <w:spacing w:after="0" w:line="240" w:lineRule="auto"/>
              <w:jc w:val="center"/>
              <w:rPr>
                <w:rFonts w:ascii="Times New Roman" w:hAnsi="Times New Roman" w:cs="Times New Roman"/>
                <w:color w:val="000000"/>
              </w:rPr>
            </w:pPr>
          </w:p>
        </w:tc>
        <w:tc>
          <w:tcPr>
            <w:tcW w:w="13339" w:type="dxa"/>
            <w:gridSpan w:val="15"/>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center"/>
            </w:pPr>
            <w:r>
              <w:rPr>
                <w:rFonts w:ascii="Times New Roman" w:hAnsi="Times New Roman" w:cs="Times New Roman"/>
                <w:color w:val="000000"/>
              </w:rPr>
              <w:t xml:space="preserve">Cel 1. </w:t>
            </w:r>
            <w:r>
              <w:rPr>
                <w:rFonts w:ascii="Times New Roman" w:eastAsia="Times New Roman" w:hAnsi="Times New Roman" w:cs="Times New Roman"/>
                <w:color w:val="000000"/>
              </w:rPr>
              <w:t>Informowanie o możliwości uzyskania wsparcia i pomocy w przygotowaniu, realizacji oraz rozliczaniu projektów dofinansowanych w ramach LSR</w:t>
            </w:r>
          </w:p>
        </w:tc>
      </w:tr>
      <w:tr w:rsidR="00BA06A2" w:rsidTr="00BA2BBD">
        <w:trPr>
          <w:trHeight w:val="654"/>
        </w:trPr>
        <w:tc>
          <w:tcPr>
            <w:tcW w:w="1966" w:type="dxa"/>
            <w:gridSpan w:val="2"/>
            <w:vMerge w:val="restart"/>
            <w:tcBorders>
              <w:top w:val="single" w:sz="4" w:space="0" w:color="000000"/>
              <w:left w:val="single" w:sz="4" w:space="0" w:color="000000"/>
              <w:bottom w:val="single" w:sz="4" w:space="0" w:color="000000"/>
            </w:tcBorders>
            <w:shd w:val="clear" w:color="auto" w:fill="auto"/>
          </w:tcPr>
          <w:p w:rsidR="00BA06A2" w:rsidRDefault="00BA06A2">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i aktualizowanie strony internetowej</w:t>
            </w:r>
            <w:r>
              <w:rPr>
                <w:color w:val="000000"/>
              </w:rPr>
              <w:t>;</w:t>
            </w:r>
          </w:p>
          <w:p w:rsidR="00BA06A2" w:rsidRDefault="00BA06A2">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i aktualizowanie portali społecznościowych;</w:t>
            </w:r>
          </w:p>
          <w:p w:rsidR="00BA06A2" w:rsidRDefault="00BA06A2">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bieżącej informacji w biurze LGD (telefoniczna, mailowo, osobiście);</w:t>
            </w:r>
          </w:p>
          <w:p w:rsidR="00BA06A2" w:rsidRDefault="00BA06A2">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Przesyłanie informacji do Powiatowych Urzędów Pracy z prośbą o zamieszczenie informacji na ich stronie internetowej i tablicy ogłoszeń;</w:t>
            </w:r>
          </w:p>
          <w:p w:rsidR="00BA06A2" w:rsidRDefault="00BA06A2">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Przesyłanie informacji do Urzędów Gmin wchodzących w skład LSR z prośbą o zamieszczenie informacji na ich stronie internetowej i tablicy ogłoszeń;</w:t>
            </w:r>
          </w:p>
          <w:p w:rsidR="00BA06A2" w:rsidRDefault="00BA06A2">
            <w:pPr>
              <w:spacing w:after="0" w:line="240" w:lineRule="auto"/>
              <w:jc w:val="both"/>
              <w:rPr>
                <w:rFonts w:ascii="Times New Roman" w:hAnsi="Times New Roman" w:cs="Times New Roman"/>
              </w:rPr>
            </w:pPr>
            <w:r>
              <w:rPr>
                <w:rFonts w:ascii="Times New Roman" w:eastAsia="Times New Roman" w:hAnsi="Times New Roman" w:cs="Times New Roman"/>
                <w:color w:val="000000"/>
              </w:rPr>
              <w:t>- Przesyłanie informacji do osób znajdujących się w bazie kontaktów LGD</w:t>
            </w:r>
          </w:p>
          <w:p w:rsidR="00BA06A2" w:rsidRDefault="00BA06A2">
            <w:pPr>
              <w:spacing w:after="0" w:line="240" w:lineRule="auto"/>
              <w:jc w:val="both"/>
              <w:rPr>
                <w:rFonts w:ascii="Times New Roman" w:hAnsi="Times New Roman" w:cs="Times New Roman"/>
              </w:rPr>
            </w:pPr>
            <w:r>
              <w:rPr>
                <w:rFonts w:ascii="Times New Roman" w:hAnsi="Times New Roman" w:cs="Times New Roman"/>
              </w:rPr>
              <w:t>- szkolenie;</w:t>
            </w:r>
          </w:p>
          <w:p w:rsidR="00BA06A2" w:rsidRDefault="00BA06A2">
            <w:pPr>
              <w:spacing w:after="0" w:line="240" w:lineRule="auto"/>
              <w:jc w:val="both"/>
              <w:rPr>
                <w:rFonts w:ascii="Times New Roman" w:hAnsi="Times New Roman" w:cs="Times New Roman"/>
              </w:rPr>
            </w:pPr>
            <w:r>
              <w:rPr>
                <w:rFonts w:ascii="Times New Roman" w:hAnsi="Times New Roman" w:cs="Times New Roman"/>
              </w:rPr>
              <w:t>- doradztwo;</w:t>
            </w:r>
          </w:p>
          <w:p w:rsidR="00BA06A2" w:rsidRDefault="00BA06A2">
            <w:pPr>
              <w:spacing w:after="0" w:line="240" w:lineRule="auto"/>
              <w:jc w:val="both"/>
              <w:rPr>
                <w:rFonts w:ascii="Times New Roman" w:hAnsi="Times New Roman" w:cs="Times New Roman"/>
              </w:rPr>
            </w:pPr>
            <w:r>
              <w:rPr>
                <w:rFonts w:ascii="Times New Roman" w:hAnsi="Times New Roman" w:cs="Times New Roman"/>
              </w:rPr>
              <w:t>- ankieta monitorująca;</w:t>
            </w:r>
          </w:p>
          <w:p w:rsidR="00BA06A2" w:rsidRDefault="00BA06A2">
            <w:pPr>
              <w:spacing w:after="0" w:line="240" w:lineRule="auto"/>
              <w:jc w:val="both"/>
              <w:rPr>
                <w:rFonts w:ascii="Times New Roman" w:hAnsi="Times New Roman" w:cs="Times New Roman"/>
              </w:rPr>
            </w:pPr>
          </w:p>
        </w:tc>
        <w:tc>
          <w:tcPr>
            <w:tcW w:w="1984" w:type="dxa"/>
            <w:vMerge w:val="restart"/>
            <w:tcBorders>
              <w:top w:val="single" w:sz="4" w:space="0" w:color="000000"/>
              <w:left w:val="single" w:sz="4" w:space="0" w:color="000000"/>
              <w:bottom w:val="single" w:sz="4" w:space="0" w:color="000000"/>
            </w:tcBorders>
            <w:shd w:val="clear" w:color="auto" w:fill="auto"/>
          </w:tcPr>
          <w:p w:rsidR="00BA06A2" w:rsidRDefault="00BA06A2">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rsidR="00BA06A2" w:rsidRDefault="00BA06A2">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rsidR="00BA06A2" w:rsidRDefault="00BA06A2">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rsidR="00BA06A2" w:rsidRDefault="00BA06A2">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rsidR="00BA06A2" w:rsidRDefault="00BA06A2">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rsidR="00BA06A2" w:rsidRDefault="00BA06A2">
            <w:pPr>
              <w:autoSpaceDE w:val="0"/>
              <w:spacing w:after="0" w:line="240" w:lineRule="auto"/>
              <w:rPr>
                <w:rFonts w:ascii="Times New Roman" w:hAnsi="Times New Roman" w:cs="Times New Roman"/>
              </w:rPr>
            </w:pPr>
            <w:r>
              <w:rPr>
                <w:rFonts w:ascii="Times New Roman" w:eastAsia="Times New Roman" w:hAnsi="Times New Roman" w:cs="Times New Roman"/>
                <w:color w:val="000000"/>
              </w:rPr>
              <w:t>- Grupy defaworyzowane pod kątem dostępu do rynku pracy,</w:t>
            </w:r>
          </w:p>
          <w:p w:rsidR="00BA06A2" w:rsidRDefault="00BA06A2">
            <w:pPr>
              <w:spacing w:after="0" w:line="240" w:lineRule="auto"/>
              <w:jc w:val="both"/>
              <w:rPr>
                <w:rFonts w:ascii="Times New Roman" w:hAnsi="Times New Roman" w:cs="Times New Roman"/>
              </w:rPr>
            </w:pPr>
          </w:p>
        </w:tc>
        <w:tc>
          <w:tcPr>
            <w:tcW w:w="1559" w:type="dxa"/>
            <w:vMerge w:val="restart"/>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Kampania informacyjna</w:t>
            </w: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Liczba zamieszczanych artykułów na stronie internetowej LGD</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18000,00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10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2</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eastAsia="Times New Roman" w:hAnsi="Times New Roman" w:cs="Times New Roman"/>
                <w:bCs/>
                <w:color w:val="000000"/>
              </w:rPr>
            </w:pPr>
            <w:r>
              <w:rPr>
                <w:rFonts w:ascii="Times New Roman" w:hAnsi="Times New Roman" w:cs="Times New Roman"/>
                <w:color w:val="000000"/>
              </w:rPr>
              <w:t>1</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autoSpaceDE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709" w:type="dxa"/>
            <w:tcBorders>
              <w:top w:val="single" w:sz="4" w:space="0" w:color="000000"/>
              <w:left w:val="single" w:sz="4" w:space="0" w:color="000000"/>
              <w:bottom w:val="single" w:sz="4" w:space="0" w:color="000000"/>
            </w:tcBorders>
            <w:shd w:val="clear" w:color="auto" w:fill="auto"/>
          </w:tcPr>
          <w:p w:rsidR="00BA06A2" w:rsidRPr="004A429A" w:rsidRDefault="00BA06A2">
            <w:pPr>
              <w:autoSpaceDE w:val="0"/>
              <w:spacing w:after="0" w:line="240" w:lineRule="auto"/>
              <w:jc w:val="both"/>
              <w:rPr>
                <w:rFonts w:ascii="Times New Roman" w:eastAsia="Times New Roman" w:hAnsi="Times New Roman" w:cs="Times New Roman"/>
                <w:bCs/>
              </w:rPr>
            </w:pPr>
            <w:r w:rsidRPr="004A429A">
              <w:rPr>
                <w:rFonts w:ascii="Times New Roman" w:eastAsia="Times New Roman" w:hAnsi="Times New Roman" w:cs="Times New Roman"/>
                <w:bCs/>
              </w:rPr>
              <w:t xml:space="preserve"> 2</w:t>
            </w:r>
          </w:p>
        </w:tc>
        <w:tc>
          <w:tcPr>
            <w:tcW w:w="519" w:type="dxa"/>
            <w:tcBorders>
              <w:top w:val="single" w:sz="4" w:space="0" w:color="000000"/>
              <w:left w:val="single" w:sz="4" w:space="0" w:color="000000"/>
              <w:bottom w:val="single" w:sz="4" w:space="0" w:color="000000"/>
            </w:tcBorders>
            <w:shd w:val="clear" w:color="auto" w:fill="auto"/>
          </w:tcPr>
          <w:p w:rsidR="00BA06A2" w:rsidRPr="004A429A" w:rsidRDefault="00BA2BBD">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w:t>
            </w:r>
          </w:p>
        </w:tc>
        <w:tc>
          <w:tcPr>
            <w:tcW w:w="615" w:type="dxa"/>
            <w:tcBorders>
              <w:top w:val="single" w:sz="4" w:space="0" w:color="000000"/>
              <w:left w:val="single" w:sz="4" w:space="0" w:color="000000"/>
              <w:bottom w:val="single" w:sz="4" w:space="0" w:color="000000"/>
            </w:tcBorders>
            <w:shd w:val="clear" w:color="auto" w:fill="auto"/>
          </w:tcPr>
          <w:p w:rsidR="00BA06A2" w:rsidRPr="004A429A" w:rsidRDefault="00BA2BBD">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tcPr>
          <w:p w:rsidR="00BA06A2" w:rsidRDefault="00BA06A2">
            <w:pPr>
              <w:autoSpaceDE w:val="0"/>
              <w:spacing w:after="0" w:line="240" w:lineRule="auto"/>
              <w:ind w:left="644"/>
              <w:jc w:val="both"/>
              <w:rPr>
                <w:rFonts w:ascii="Times New Roman" w:eastAsia="Times New Roman" w:hAnsi="Times New Roman" w:cs="Times New Roman"/>
                <w:bCs/>
              </w:rPr>
            </w:pPr>
            <w:r>
              <w:rPr>
                <w:rFonts w:ascii="Times New Roman" w:eastAsia="Times New Roman" w:hAnsi="Times New Roman" w:cs="Times New Roman"/>
                <w:bCs/>
              </w:rPr>
              <w:t xml:space="preserve">Wzrost wiedzy grup </w:t>
            </w:r>
          </w:p>
          <w:p w:rsidR="00BA06A2" w:rsidRDefault="00BA06A2">
            <w:pPr>
              <w:autoSpaceDE w:val="0"/>
              <w:spacing w:after="0" w:line="240" w:lineRule="auto"/>
              <w:ind w:left="644"/>
              <w:jc w:val="both"/>
              <w:rPr>
                <w:rFonts w:ascii="Times New Roman" w:hAnsi="Times New Roman" w:cs="Times New Roman"/>
              </w:rPr>
            </w:pPr>
            <w:r>
              <w:rPr>
                <w:rFonts w:ascii="Times New Roman" w:eastAsia="Times New Roman" w:hAnsi="Times New Roman" w:cs="Times New Roman"/>
                <w:bCs/>
              </w:rPr>
              <w:t xml:space="preserve">000docelowych opisanych w LSR na temat możliwości </w:t>
            </w:r>
            <w:r>
              <w:rPr>
                <w:rFonts w:ascii="Times New Roman" w:eastAsia="Times New Roman" w:hAnsi="Times New Roman" w:cs="Times New Roman"/>
              </w:rPr>
              <w:t>uzyskania wsparcia oraz zakresu pomocy w przygotowaniu, realizacji oraz rozliczaniu projektów dofinansowanych w ramach LSR;</w:t>
            </w:r>
          </w:p>
          <w:p w:rsidR="00BA06A2" w:rsidRDefault="00BA06A2">
            <w:pPr>
              <w:spacing w:after="0" w:line="240" w:lineRule="auto"/>
              <w:ind w:left="113" w:right="113"/>
              <w:jc w:val="both"/>
              <w:rPr>
                <w:rFonts w:ascii="Times New Roman" w:hAnsi="Times New Roman" w:cs="Times New Roman"/>
              </w:rPr>
            </w:pPr>
          </w:p>
        </w:tc>
      </w:tr>
      <w:tr w:rsidR="00BA06A2" w:rsidTr="00BA2BBD">
        <w:trPr>
          <w:trHeight w:val="649"/>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Liczba zamieszczonych informacji na Fanpage LGD</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32</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rPr>
              <w:t>7</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strike/>
                <w:color w:val="000000"/>
              </w:rPr>
            </w:pPr>
            <w:r>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strike/>
                <w:color w:val="000000"/>
              </w:rPr>
              <w:t>4</w:t>
            </w:r>
          </w:p>
        </w:tc>
        <w:tc>
          <w:tcPr>
            <w:tcW w:w="708" w:type="dxa"/>
            <w:tcBorders>
              <w:top w:val="single" w:sz="4" w:space="0" w:color="000000"/>
              <w:left w:val="single" w:sz="4" w:space="0" w:color="000000"/>
              <w:bottom w:val="single" w:sz="4" w:space="0" w:color="000000"/>
            </w:tcBorders>
            <w:shd w:val="clear" w:color="auto" w:fill="auto"/>
          </w:tcPr>
          <w:p w:rsidR="00BA06A2" w:rsidRPr="00DF1F64" w:rsidRDefault="00BA06A2">
            <w:pPr>
              <w:spacing w:after="0" w:line="240" w:lineRule="auto"/>
              <w:jc w:val="right"/>
              <w:rPr>
                <w:rFonts w:ascii="Times New Roman" w:hAnsi="Times New Roman" w:cs="Times New Roman"/>
                <w:strike/>
                <w:color w:val="000000"/>
              </w:rPr>
            </w:pPr>
            <w:r w:rsidRPr="00DF1F64">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06A2" w:rsidRPr="004A429A" w:rsidRDefault="00BA06A2">
            <w:pPr>
              <w:spacing w:after="0" w:line="240" w:lineRule="auto"/>
              <w:jc w:val="both"/>
              <w:rPr>
                <w:rFonts w:ascii="Times New Roman" w:hAnsi="Times New Roman" w:cs="Times New Roman"/>
              </w:rPr>
            </w:pPr>
            <w:r w:rsidRPr="004A429A">
              <w:rPr>
                <w:rFonts w:ascii="Times New Roman" w:hAnsi="Times New Roman" w:cs="Times New Roman"/>
              </w:rPr>
              <w:t xml:space="preserve"> 2</w:t>
            </w:r>
          </w:p>
        </w:tc>
        <w:tc>
          <w:tcPr>
            <w:tcW w:w="519"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2</w:t>
            </w:r>
          </w:p>
        </w:tc>
        <w:tc>
          <w:tcPr>
            <w:tcW w:w="615"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1</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06A2" w:rsidTr="00BA2BBD">
        <w:trPr>
          <w:trHeight w:val="649"/>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które otrzymały informację w biurze LGD, telefonicznie lub mailowo</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100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25</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27</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10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709" w:type="dxa"/>
            <w:tcBorders>
              <w:top w:val="single" w:sz="4" w:space="0" w:color="000000"/>
              <w:left w:val="single" w:sz="4" w:space="0" w:color="000000"/>
              <w:bottom w:val="single" w:sz="4" w:space="0" w:color="000000"/>
            </w:tcBorders>
            <w:shd w:val="clear" w:color="auto" w:fill="auto"/>
          </w:tcPr>
          <w:p w:rsidR="00BA06A2" w:rsidRPr="004A429A" w:rsidRDefault="00BA06A2">
            <w:pPr>
              <w:spacing w:after="0" w:line="240" w:lineRule="auto"/>
              <w:jc w:val="both"/>
              <w:rPr>
                <w:rFonts w:ascii="Times New Roman" w:hAnsi="Times New Roman" w:cs="Times New Roman"/>
              </w:rPr>
            </w:pPr>
            <w:r w:rsidRPr="004A429A">
              <w:rPr>
                <w:rFonts w:ascii="Times New Roman" w:hAnsi="Times New Roman" w:cs="Times New Roman"/>
              </w:rPr>
              <w:t xml:space="preserve"> 10</w:t>
            </w:r>
          </w:p>
        </w:tc>
        <w:tc>
          <w:tcPr>
            <w:tcW w:w="519"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10</w:t>
            </w:r>
          </w:p>
        </w:tc>
        <w:tc>
          <w:tcPr>
            <w:tcW w:w="615"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5</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06A2" w:rsidTr="00BA2BBD">
        <w:trPr>
          <w:trHeight w:val="649"/>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Liczba Powiatowych Urzędów Pracy, do których przesłano informacje</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4</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06A2" w:rsidRPr="004A429A" w:rsidRDefault="00BA06A2">
            <w:pPr>
              <w:spacing w:after="0" w:line="240" w:lineRule="auto"/>
              <w:jc w:val="both"/>
              <w:rPr>
                <w:rFonts w:ascii="Times New Roman" w:hAnsi="Times New Roman" w:cs="Times New Roman"/>
              </w:rPr>
            </w:pPr>
            <w:r w:rsidRPr="004A429A">
              <w:rPr>
                <w:rFonts w:ascii="Times New Roman" w:hAnsi="Times New Roman" w:cs="Times New Roman"/>
              </w:rPr>
              <w:t xml:space="preserve"> 4</w:t>
            </w:r>
          </w:p>
        </w:tc>
        <w:tc>
          <w:tcPr>
            <w:tcW w:w="519"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06A2" w:rsidTr="00BA2BBD">
        <w:trPr>
          <w:trHeight w:val="649"/>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Liczba Urzędów Gmin wchodzących w skład LGD, do których przesłano informację</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10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right"/>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06A2" w:rsidRPr="004A429A" w:rsidRDefault="00BA06A2">
            <w:pPr>
              <w:spacing w:after="0" w:line="240" w:lineRule="auto"/>
              <w:jc w:val="both"/>
              <w:rPr>
                <w:rFonts w:ascii="Times New Roman" w:hAnsi="Times New Roman" w:cs="Times New Roman"/>
              </w:rPr>
            </w:pPr>
            <w:r w:rsidRPr="004A429A">
              <w:rPr>
                <w:rFonts w:ascii="Times New Roman" w:hAnsi="Times New Roman" w:cs="Times New Roman"/>
              </w:rPr>
              <w:t>0</w:t>
            </w:r>
          </w:p>
        </w:tc>
        <w:tc>
          <w:tcPr>
            <w:tcW w:w="519"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06A2" w:rsidRPr="004A429A"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06A2" w:rsidTr="00BA2BBD">
        <w:trPr>
          <w:trHeight w:val="649"/>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do których przesłano informację, będących w bazie kontaktów LGD</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240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60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40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rPr>
              <w:t>40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519" w:type="dxa"/>
            <w:tcBorders>
              <w:top w:val="single" w:sz="4" w:space="0" w:color="000000"/>
              <w:left w:val="single" w:sz="4" w:space="0" w:color="000000"/>
              <w:bottom w:val="single" w:sz="4" w:space="0" w:color="000000"/>
            </w:tcBorders>
            <w:shd w:val="clear" w:color="auto" w:fill="auto"/>
          </w:tcPr>
          <w:p w:rsidR="00BA06A2"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06A2"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06A2" w:rsidTr="00BA2BBD">
        <w:trPr>
          <w:trHeight w:val="196"/>
        </w:trPr>
        <w:tc>
          <w:tcPr>
            <w:tcW w:w="1966" w:type="dxa"/>
            <w:gridSpan w:val="2"/>
            <w:vMerge/>
            <w:tcBorders>
              <w:top w:val="single" w:sz="4" w:space="0" w:color="000000"/>
              <w:left w:val="single" w:sz="4" w:space="0" w:color="000000"/>
              <w:bottom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06A2" w:rsidRDefault="00BA06A2">
            <w:pPr>
              <w:autoSpaceDE w:val="0"/>
              <w:snapToGrid w:val="0"/>
              <w:spacing w:after="0" w:line="240" w:lineRule="auto"/>
              <w:rPr>
                <w:rFonts w:ascii="Times New Roman" w:eastAsia="Times New Roman" w:hAnsi="Times New Roman" w:cs="Times New Roman"/>
                <w:color w:val="000000"/>
              </w:rPr>
            </w:pPr>
          </w:p>
        </w:tc>
        <w:tc>
          <w:tcPr>
            <w:tcW w:w="1559" w:type="dxa"/>
            <w:vMerge w:val="restart"/>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eastAsia="Times New Roman" w:hAnsi="Times New Roman" w:cs="Times New Roman"/>
                <w:color w:val="000000"/>
              </w:rPr>
            </w:pPr>
            <w:r>
              <w:rPr>
                <w:rFonts w:ascii="Times New Roman" w:hAnsi="Times New Roman" w:cs="Times New Roman"/>
              </w:rPr>
              <w:t>Cykl szkoleniowy</w:t>
            </w:r>
          </w:p>
        </w:tc>
        <w:tc>
          <w:tcPr>
            <w:tcW w:w="1701"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Liczba zorganizowanych szkoleń</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3600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7</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center"/>
              <w:rPr>
                <w:rFonts w:ascii="Times New Roman" w:hAnsi="Times New Roman" w:cs="Times New Roman"/>
                <w:color w:val="000000"/>
              </w:rPr>
            </w:pPr>
            <w:r>
              <w:rPr>
                <w:rFonts w:ascii="Times New Roman" w:hAnsi="Times New Roman" w:cs="Times New Roman"/>
              </w:rPr>
              <w:t>0</w:t>
            </w:r>
          </w:p>
        </w:tc>
        <w:tc>
          <w:tcPr>
            <w:tcW w:w="708"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06A2" w:rsidRDefault="00BA06A2">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519" w:type="dxa"/>
            <w:tcBorders>
              <w:top w:val="single" w:sz="4" w:space="0" w:color="000000"/>
              <w:left w:val="single" w:sz="4" w:space="0" w:color="000000"/>
              <w:bottom w:val="single" w:sz="4" w:space="0" w:color="000000"/>
            </w:tcBorders>
            <w:shd w:val="clear" w:color="auto" w:fill="auto"/>
          </w:tcPr>
          <w:p w:rsidR="00BA06A2"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06A2"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top w:val="single" w:sz="4" w:space="0" w:color="000000"/>
              <w:left w:val="single" w:sz="4" w:space="0" w:color="000000"/>
              <w:bottom w:val="single" w:sz="4" w:space="0" w:color="000000"/>
              <w:right w:val="single" w:sz="4" w:space="0" w:color="000000"/>
            </w:tcBorders>
            <w:shd w:val="clear" w:color="auto" w:fill="auto"/>
          </w:tcPr>
          <w:p w:rsidR="00BA06A2" w:rsidRDefault="00BA06A2">
            <w:pPr>
              <w:snapToGrid w:val="0"/>
              <w:spacing w:after="0" w:line="240" w:lineRule="auto"/>
              <w:jc w:val="both"/>
              <w:rPr>
                <w:rFonts w:ascii="Times New Roman" w:hAnsi="Times New Roman" w:cs="Times New Roman"/>
              </w:rPr>
            </w:pPr>
          </w:p>
        </w:tc>
      </w:tr>
      <w:tr w:rsidR="00BA2BBD" w:rsidTr="00BA2BBD">
        <w:trPr>
          <w:trHeight w:val="194"/>
        </w:trPr>
        <w:tc>
          <w:tcPr>
            <w:tcW w:w="1966" w:type="dxa"/>
            <w:gridSpan w:val="2"/>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2BBD" w:rsidRDefault="00BA2BBD">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uczestniczących w szkoleniu*</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37</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17</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color w:val="000000"/>
              </w:rPr>
              <w:t>14</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519"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val="restart"/>
            <w:tcBorders>
              <w:top w:val="single" w:sz="4" w:space="0" w:color="000000"/>
              <w:left w:val="single" w:sz="4" w:space="0" w:color="000000"/>
              <w:right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r>
      <w:tr w:rsidR="00BA2BBD" w:rsidTr="00BA2BBD">
        <w:trPr>
          <w:trHeight w:val="194"/>
        </w:trPr>
        <w:tc>
          <w:tcPr>
            <w:tcW w:w="1966" w:type="dxa"/>
            <w:gridSpan w:val="2"/>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2BBD" w:rsidRDefault="00BA2BBD">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korzystających z doradztwa**</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48</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36</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strike/>
              </w:rPr>
            </w:pPr>
            <w:r>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strike/>
              </w:rPr>
              <w:t>-</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color w:val="000000"/>
              </w:rPr>
              <w:t>-</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519"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left w:val="single" w:sz="4" w:space="0" w:color="000000"/>
              <w:right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r>
      <w:tr w:rsidR="00BA2BBD" w:rsidTr="00BA2BBD">
        <w:trPr>
          <w:trHeight w:val="194"/>
        </w:trPr>
        <w:tc>
          <w:tcPr>
            <w:tcW w:w="1966" w:type="dxa"/>
            <w:gridSpan w:val="2"/>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984" w:type="dxa"/>
            <w:vMerge/>
            <w:tcBorders>
              <w:top w:val="single" w:sz="4" w:space="0" w:color="000000"/>
              <w:left w:val="single" w:sz="4" w:space="0" w:color="000000"/>
              <w:bottom w:val="single" w:sz="4" w:space="0" w:color="000000"/>
            </w:tcBorders>
            <w:shd w:val="clear" w:color="auto" w:fill="auto"/>
          </w:tcPr>
          <w:p w:rsidR="00BA2BBD" w:rsidRDefault="00BA2BBD">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rozpowszechnionych ankiet</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149</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90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29</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20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519"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615" w:type="dxa"/>
            <w:tcBorders>
              <w:top w:val="single" w:sz="4" w:space="0" w:color="000000"/>
              <w:left w:val="single" w:sz="4" w:space="0" w:color="000000"/>
              <w:bottom w:val="single" w:sz="4" w:space="0" w:color="000000"/>
            </w:tcBorders>
            <w:shd w:val="clear" w:color="auto" w:fill="auto"/>
          </w:tcPr>
          <w:p w:rsidR="00BA2BBD" w:rsidRDefault="00B42D2E">
            <w:pPr>
              <w:spacing w:after="0" w:line="240" w:lineRule="auto"/>
              <w:jc w:val="both"/>
              <w:rPr>
                <w:rFonts w:ascii="Times New Roman" w:hAnsi="Times New Roman" w:cs="Times New Roman"/>
              </w:rPr>
            </w:pPr>
            <w:r>
              <w:rPr>
                <w:rFonts w:ascii="Times New Roman" w:hAnsi="Times New Roman" w:cs="Times New Roman"/>
              </w:rPr>
              <w:t>0</w:t>
            </w:r>
          </w:p>
        </w:tc>
        <w:tc>
          <w:tcPr>
            <w:tcW w:w="582" w:type="dxa"/>
            <w:vMerge/>
            <w:tcBorders>
              <w:left w:val="single" w:sz="4" w:space="0" w:color="000000"/>
              <w:bottom w:val="single" w:sz="4" w:space="0" w:color="000000"/>
              <w:right w:val="single" w:sz="4" w:space="0" w:color="000000"/>
            </w:tcBorders>
            <w:shd w:val="clear" w:color="auto" w:fill="auto"/>
          </w:tcPr>
          <w:p w:rsidR="00BA2BBD" w:rsidRDefault="00BA2BBD">
            <w:pPr>
              <w:snapToGrid w:val="0"/>
              <w:spacing w:after="0" w:line="240" w:lineRule="auto"/>
              <w:jc w:val="both"/>
              <w:rPr>
                <w:rFonts w:ascii="Times New Roman" w:hAnsi="Times New Roman" w:cs="Times New Roman"/>
              </w:rPr>
            </w:pPr>
          </w:p>
        </w:tc>
      </w:tr>
      <w:tr w:rsidR="00294BD0" w:rsidTr="00BA2BBD">
        <w:trPr>
          <w:trHeight w:val="194"/>
        </w:trPr>
        <w:tc>
          <w:tcPr>
            <w:tcW w:w="1966" w:type="dxa"/>
            <w:gridSpan w:val="2"/>
            <w:tcBorders>
              <w:top w:val="single" w:sz="4" w:space="0" w:color="000000"/>
              <w:left w:val="single" w:sz="4" w:space="0" w:color="000000"/>
              <w:bottom w:val="single" w:sz="4" w:space="0" w:color="000000"/>
            </w:tcBorders>
            <w:shd w:val="clear" w:color="auto" w:fill="auto"/>
          </w:tcPr>
          <w:p w:rsidR="00294BD0" w:rsidRDefault="00294BD0">
            <w:pPr>
              <w:snapToGrid w:val="0"/>
              <w:spacing w:after="0" w:line="240" w:lineRule="auto"/>
              <w:jc w:val="both"/>
              <w:rPr>
                <w:rFonts w:ascii="Times New Roman" w:eastAsia="Times New Roman" w:hAnsi="Times New Roman" w:cs="Times New Roman"/>
                <w:color w:val="000000"/>
              </w:rPr>
            </w:pPr>
          </w:p>
        </w:tc>
        <w:tc>
          <w:tcPr>
            <w:tcW w:w="13339" w:type="dxa"/>
            <w:gridSpan w:val="15"/>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spacing w:after="0" w:line="240" w:lineRule="auto"/>
              <w:jc w:val="both"/>
            </w:pPr>
            <w:r>
              <w:rPr>
                <w:rFonts w:ascii="Times New Roman" w:eastAsia="Times New Roman" w:hAnsi="Times New Roman" w:cs="Times New Roman"/>
                <w:color w:val="000000"/>
              </w:rPr>
              <w:t>Cel 2. Zwiększenie poziomu świadomości i wiedzy mieszkańców na temat korzyści z członkostwa w Unii Europejskiej oraz z możliwości jakie wnosi LGD, dzięki napływowi Funduszy Europejskich w tym EFRROW</w:t>
            </w:r>
          </w:p>
        </w:tc>
      </w:tr>
      <w:tr w:rsidR="00BA2BBD" w:rsidTr="00BA2BBD">
        <w:trPr>
          <w:cantSplit/>
          <w:trHeight w:val="1134"/>
        </w:trPr>
        <w:tc>
          <w:tcPr>
            <w:tcW w:w="1966" w:type="dxa"/>
            <w:gridSpan w:val="2"/>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Organizacja spotkań otwartych na terenie gmin wchodzących w skład LGD</w:t>
            </w:r>
          </w:p>
          <w:p w:rsidR="00BA2BBD" w:rsidRDefault="00BA2BBD">
            <w:pPr>
              <w:spacing w:after="0" w:line="240" w:lineRule="auto"/>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Grupy defaworyzowane pod kątem dostępu do rynku pracy,</w:t>
            </w:r>
          </w:p>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Osoby zagrożone wykluczeniem społecznym tj. osoby w wieku poprodukcyjnym</w:t>
            </w:r>
          </w:p>
        </w:tc>
        <w:tc>
          <w:tcPr>
            <w:tcW w:w="155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Bezpośrednie spotkania</w:t>
            </w:r>
          </w:p>
        </w:tc>
        <w:tc>
          <w:tcPr>
            <w:tcW w:w="1701"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Liczba spotkań informacyjnych</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color w:val="000000"/>
              </w:rPr>
              <w:t>1</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color w:val="000000"/>
              </w:rPr>
              <w:t>0</w:t>
            </w:r>
          </w:p>
        </w:tc>
        <w:tc>
          <w:tcPr>
            <w:tcW w:w="519" w:type="dxa"/>
            <w:tcBorders>
              <w:top w:val="single" w:sz="4" w:space="0" w:color="000000"/>
              <w:left w:val="single" w:sz="4" w:space="0" w:color="000000"/>
              <w:bottom w:val="single" w:sz="4" w:space="0" w:color="000000"/>
            </w:tcBorders>
            <w:shd w:val="clear" w:color="auto" w:fill="auto"/>
          </w:tcPr>
          <w:p w:rsidR="00BA2BBD" w:rsidRDefault="00B42D2E">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w:t>
            </w:r>
          </w:p>
        </w:tc>
        <w:tc>
          <w:tcPr>
            <w:tcW w:w="615" w:type="dxa"/>
            <w:tcBorders>
              <w:top w:val="single" w:sz="4" w:space="0" w:color="000000"/>
              <w:left w:val="single" w:sz="4" w:space="0" w:color="000000"/>
              <w:bottom w:val="single" w:sz="4" w:space="0" w:color="000000"/>
            </w:tcBorders>
            <w:shd w:val="clear" w:color="auto" w:fill="auto"/>
          </w:tcPr>
          <w:p w:rsidR="00BA2BBD" w:rsidRDefault="00B42D2E">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p>
        </w:tc>
        <w:tc>
          <w:tcPr>
            <w:tcW w:w="582"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BA2BBD" w:rsidRDefault="00BA2BBD">
            <w:pPr>
              <w:autoSpaceDE w:val="0"/>
              <w:spacing w:after="0" w:line="240" w:lineRule="auto"/>
              <w:ind w:left="113" w:right="113"/>
              <w:jc w:val="both"/>
            </w:pPr>
            <w:r>
              <w:rPr>
                <w:rFonts w:ascii="Times New Roman" w:eastAsia="Times New Roman" w:hAnsi="Times New Roman" w:cs="Times New Roman"/>
                <w:bCs/>
              </w:rPr>
              <w:t>Wzrost świadomości i wiedzy grup docelowych opisanych w LSR na temat korzyści płynących z uzyskanego wsparcia w ramach środków unijnych</w:t>
            </w:r>
          </w:p>
        </w:tc>
      </w:tr>
      <w:tr w:rsidR="00294BD0" w:rsidTr="00BA2BBD">
        <w:tc>
          <w:tcPr>
            <w:tcW w:w="1966" w:type="dxa"/>
            <w:gridSpan w:val="2"/>
            <w:tcBorders>
              <w:top w:val="single" w:sz="4" w:space="0" w:color="000000"/>
              <w:left w:val="single" w:sz="4" w:space="0" w:color="000000"/>
              <w:bottom w:val="single" w:sz="4" w:space="0" w:color="000000"/>
            </w:tcBorders>
            <w:shd w:val="clear" w:color="auto" w:fill="auto"/>
          </w:tcPr>
          <w:p w:rsidR="00294BD0" w:rsidRDefault="00294BD0">
            <w:pPr>
              <w:autoSpaceDE w:val="0"/>
              <w:snapToGrid w:val="0"/>
              <w:spacing w:after="0" w:line="240" w:lineRule="auto"/>
              <w:jc w:val="both"/>
              <w:rPr>
                <w:rFonts w:ascii="Times New Roman" w:eastAsia="Times New Roman" w:hAnsi="Times New Roman" w:cs="Times New Roman"/>
                <w:color w:val="000000"/>
              </w:rPr>
            </w:pPr>
          </w:p>
        </w:tc>
        <w:tc>
          <w:tcPr>
            <w:tcW w:w="13339" w:type="dxa"/>
            <w:gridSpan w:val="15"/>
            <w:tcBorders>
              <w:top w:val="single" w:sz="4" w:space="0" w:color="000000"/>
              <w:left w:val="single" w:sz="4" w:space="0" w:color="000000"/>
              <w:bottom w:val="single" w:sz="4" w:space="0" w:color="000000"/>
              <w:right w:val="single" w:sz="4" w:space="0" w:color="000000"/>
            </w:tcBorders>
            <w:shd w:val="clear" w:color="auto" w:fill="auto"/>
          </w:tcPr>
          <w:p w:rsidR="00294BD0" w:rsidRDefault="00294BD0">
            <w:pPr>
              <w:autoSpaceDE w:val="0"/>
              <w:spacing w:after="0" w:line="240" w:lineRule="auto"/>
              <w:jc w:val="both"/>
            </w:pPr>
            <w:r>
              <w:rPr>
                <w:rFonts w:ascii="Times New Roman" w:eastAsia="Times New Roman" w:hAnsi="Times New Roman" w:cs="Times New Roman"/>
                <w:color w:val="000000"/>
              </w:rPr>
              <w:t>Cel 3.Wzmocnienie pozytywnego wizerunku LGD jako obszaru efektywnie wykorzystującego szanse stwarzane przez członkostwo Polski w Unii Europejskiej</w:t>
            </w:r>
          </w:p>
        </w:tc>
      </w:tr>
      <w:tr w:rsidR="00BA2BBD" w:rsidTr="00BA2BBD">
        <w:trPr>
          <w:cantSplit/>
          <w:trHeight w:val="1134"/>
        </w:trPr>
        <w:tc>
          <w:tcPr>
            <w:tcW w:w="1966" w:type="dxa"/>
            <w:gridSpan w:val="2"/>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eastAsia="Times New Roman" w:hAnsi="Times New Roman" w:cs="Times New Roman"/>
                <w:color w:val="000000"/>
              </w:rPr>
            </w:pPr>
            <w:r>
              <w:rPr>
                <w:rFonts w:ascii="Times New Roman" w:hAnsi="Times New Roman" w:cs="Times New Roman"/>
              </w:rPr>
              <w:t>Ankieta monitorująca</w:t>
            </w:r>
          </w:p>
        </w:tc>
        <w:tc>
          <w:tcPr>
            <w:tcW w:w="1984"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rsidR="00BA2BBD" w:rsidRDefault="00BA2BBD">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rsidR="00BA2BBD" w:rsidRDefault="00BA2BBD">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Grupy defaworyzowane pod kątem dostępu do rynku pracy, </w:t>
            </w:r>
          </w:p>
          <w:p w:rsidR="00BA2BBD" w:rsidRDefault="00BA2BBD">
            <w:pPr>
              <w:spacing w:after="0" w:line="240" w:lineRule="auto"/>
              <w:jc w:val="both"/>
              <w:rPr>
                <w:rFonts w:ascii="Times New Roman" w:hAnsi="Times New Roman" w:cs="Times New Roman"/>
              </w:rPr>
            </w:pPr>
            <w:r>
              <w:rPr>
                <w:rFonts w:ascii="Times New Roman" w:eastAsia="Times New Roman" w:hAnsi="Times New Roman" w:cs="Times New Roman"/>
                <w:color w:val="000000"/>
              </w:rPr>
              <w:t>- Osoby zagrożone wykluczeniem społecznym tj. osoby w wieku poprodukcyjnym</w:t>
            </w:r>
          </w:p>
        </w:tc>
        <w:tc>
          <w:tcPr>
            <w:tcW w:w="155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 xml:space="preserve">Badanie satysfakcji </w:t>
            </w:r>
          </w:p>
        </w:tc>
        <w:tc>
          <w:tcPr>
            <w:tcW w:w="1701"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Liczba rozpowszechnionych ankiet</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200,00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rPr>
            </w:pPr>
            <w:r>
              <w:rPr>
                <w:rFonts w:ascii="Times New Roman" w:hAnsi="Times New Roman" w:cs="Times New Roman"/>
              </w:rPr>
              <w:t>50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rPr>
              <w:t>50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spacing w:after="0" w:line="240" w:lineRule="auto"/>
              <w:jc w:val="both"/>
              <w:rPr>
                <w:rFonts w:ascii="Times New Roman" w:eastAsia="Times New Roman" w:hAnsi="Times New Roman" w:cs="Times New Roman"/>
                <w:bCs/>
                <w:color w:val="000000"/>
              </w:rPr>
            </w:pPr>
            <w:r>
              <w:rPr>
                <w:rFonts w:ascii="Times New Roman" w:hAnsi="Times New Roman" w:cs="Times New Roman"/>
                <w:color w:val="000000"/>
              </w:rPr>
              <w:t>50</w:t>
            </w:r>
          </w:p>
        </w:tc>
        <w:tc>
          <w:tcPr>
            <w:tcW w:w="708"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50</w:t>
            </w:r>
          </w:p>
        </w:tc>
        <w:tc>
          <w:tcPr>
            <w:tcW w:w="709" w:type="dxa"/>
            <w:tcBorders>
              <w:top w:val="single" w:sz="4" w:space="0" w:color="000000"/>
              <w:left w:val="single" w:sz="4" w:space="0" w:color="000000"/>
              <w:bottom w:val="single" w:sz="4" w:space="0" w:color="000000"/>
            </w:tcBorders>
            <w:shd w:val="clear" w:color="auto" w:fill="auto"/>
          </w:tcPr>
          <w:p w:rsidR="00BA2BBD" w:rsidRDefault="00BA2BBD">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color w:val="000000"/>
              </w:rPr>
              <w:t>50</w:t>
            </w:r>
          </w:p>
        </w:tc>
        <w:tc>
          <w:tcPr>
            <w:tcW w:w="519" w:type="dxa"/>
            <w:tcBorders>
              <w:top w:val="single" w:sz="4" w:space="0" w:color="000000"/>
              <w:left w:val="single" w:sz="4" w:space="0" w:color="000000"/>
              <w:bottom w:val="single" w:sz="4" w:space="0" w:color="000000"/>
            </w:tcBorders>
            <w:shd w:val="clear" w:color="auto" w:fill="auto"/>
          </w:tcPr>
          <w:p w:rsidR="00BA2BBD" w:rsidRDefault="00B42D2E">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50</w:t>
            </w:r>
          </w:p>
        </w:tc>
        <w:tc>
          <w:tcPr>
            <w:tcW w:w="615" w:type="dxa"/>
            <w:tcBorders>
              <w:top w:val="single" w:sz="4" w:space="0" w:color="000000"/>
              <w:left w:val="single" w:sz="4" w:space="0" w:color="000000"/>
              <w:bottom w:val="single" w:sz="4" w:space="0" w:color="000000"/>
            </w:tcBorders>
            <w:shd w:val="clear" w:color="auto" w:fill="auto"/>
          </w:tcPr>
          <w:p w:rsidR="00BA2BBD" w:rsidRDefault="00B42D2E">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w:t>
            </w:r>
          </w:p>
        </w:tc>
        <w:tc>
          <w:tcPr>
            <w:tcW w:w="582" w:type="dxa"/>
            <w:tcBorders>
              <w:top w:val="single" w:sz="4" w:space="0" w:color="000000"/>
              <w:left w:val="single" w:sz="4" w:space="0" w:color="000000"/>
              <w:bottom w:val="single" w:sz="4" w:space="0" w:color="000000"/>
              <w:right w:val="single" w:sz="4" w:space="0" w:color="000000"/>
            </w:tcBorders>
            <w:shd w:val="clear" w:color="auto" w:fill="auto"/>
            <w:textDirection w:val="tbRlV"/>
          </w:tcPr>
          <w:p w:rsidR="00BA2BBD" w:rsidRDefault="00BA2BBD">
            <w:pPr>
              <w:autoSpaceDE w:val="0"/>
              <w:spacing w:after="0" w:line="240" w:lineRule="auto"/>
              <w:ind w:left="113"/>
              <w:jc w:val="both"/>
              <w:rPr>
                <w:rFonts w:ascii="Times New Roman" w:hAnsi="Times New Roman" w:cs="Times New Roman"/>
              </w:rPr>
            </w:pPr>
            <w:r>
              <w:rPr>
                <w:rFonts w:ascii="Times New Roman" w:eastAsia="Times New Roman" w:hAnsi="Times New Roman" w:cs="Times New Roman"/>
                <w:bCs/>
              </w:rPr>
              <w:t>Wzrost rozpoznawalności LGD jako podmiotu mającego realny wpływ na kształt i kierunek rozwoju społecznego regionu;</w:t>
            </w:r>
          </w:p>
          <w:p w:rsidR="00BA2BBD" w:rsidRDefault="00BA2BBD">
            <w:pPr>
              <w:spacing w:after="0" w:line="240" w:lineRule="auto"/>
              <w:ind w:left="113" w:right="113"/>
              <w:jc w:val="both"/>
              <w:rPr>
                <w:rFonts w:ascii="Times New Roman" w:hAnsi="Times New Roman" w:cs="Times New Roman"/>
              </w:rPr>
            </w:pPr>
          </w:p>
        </w:tc>
      </w:tr>
    </w:tbl>
    <w:p w:rsidR="00294BD0" w:rsidRDefault="00294BD0">
      <w:pPr>
        <w:pStyle w:val="Tekstkomentarza1"/>
        <w:rPr>
          <w:lang w:val="pl-PL"/>
        </w:rPr>
      </w:pPr>
      <w:r>
        <w:rPr>
          <w:sz w:val="24"/>
          <w:szCs w:val="24"/>
        </w:rPr>
        <w:tab/>
        <w:t xml:space="preserve">* </w:t>
      </w:r>
      <w:r>
        <w:rPr>
          <w:lang w:val="pl-PL"/>
        </w:rPr>
        <w:t>Wskaźnik wykazywany od 01.07.2017;</w:t>
      </w:r>
    </w:p>
    <w:p w:rsidR="00294BD0" w:rsidRDefault="00294BD0">
      <w:pPr>
        <w:pStyle w:val="Tekstkomentarza1"/>
        <w:rPr>
          <w:lang w:val="pl-PL"/>
        </w:rPr>
      </w:pPr>
      <w:r>
        <w:rPr>
          <w:lang w:val="pl-PL"/>
        </w:rPr>
        <w:t xml:space="preserve">                ** Wskaźnik wykazywany do 30.06.2017 r.</w:t>
      </w:r>
    </w:p>
    <w:p w:rsidR="00294BD0" w:rsidRDefault="00294BD0">
      <w:pPr>
        <w:pStyle w:val="Tekstkomentarza1"/>
        <w:rPr>
          <w:lang w:val="pl-PL"/>
        </w:rPr>
      </w:pPr>
    </w:p>
    <w:p w:rsidR="00294BD0" w:rsidRDefault="00294BD0">
      <w:pPr>
        <w:tabs>
          <w:tab w:val="left" w:pos="1410"/>
        </w:tabs>
        <w:spacing w:after="0"/>
        <w:rPr>
          <w:rFonts w:ascii="Cambria" w:eastAsia="Times New Roman" w:hAnsi="Cambria" w:cs="Cambria"/>
          <w:sz w:val="24"/>
          <w:szCs w:val="24"/>
        </w:rPr>
      </w:pPr>
    </w:p>
    <w:p w:rsidR="00294BD0" w:rsidRDefault="00294BD0">
      <w:pPr>
        <w:tabs>
          <w:tab w:val="left" w:pos="1410"/>
        </w:tabs>
        <w:rPr>
          <w:rFonts w:ascii="Times New Roman" w:eastAsia="Times New Roman" w:hAnsi="Times New Roman" w:cs="Times New Roman"/>
          <w:color w:val="000000"/>
        </w:rPr>
        <w:sectPr w:rsidR="00294BD0">
          <w:footerReference w:type="default" r:id="rId30"/>
          <w:pgSz w:w="16838" w:h="11906" w:orient="landscape"/>
          <w:pgMar w:top="851" w:right="851" w:bottom="1418" w:left="851" w:header="708" w:footer="708" w:gutter="0"/>
          <w:cols w:space="708"/>
          <w:docGrid w:linePitch="600" w:charSpace="36864"/>
        </w:sectPr>
      </w:pPr>
      <w:r>
        <w:rPr>
          <w:rFonts w:ascii="Cambria" w:eastAsia="Times New Roman" w:hAnsi="Cambria" w:cs="Cambria"/>
          <w:sz w:val="24"/>
          <w:szCs w:val="24"/>
        </w:rPr>
        <w:tab/>
      </w:r>
    </w:p>
    <w:p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Celem głównym działań komunikacyjnych jest wsparcie realizacji celów określonych w LSR przez zachęcenie potencjalnych beneficjentów oraz mieszkańców obszaru LGD do korzystania z Funduszy Europejskich a w szczególności z Europejskiego Funduszu Rolnego na Rzecz Rozwoju Obszarów Wiejskich. Działania komunikacyjne będą zrealizowane dzięki dostarczeniu mieszkańcom informacji niezbędnych w procesie ubiegania się o środki unijne, motywowanie projektodawców i edukowanie ich w obszarze właściwej realizacji projektów oraz upowszechnianie efektów wykorzystania Funduszy Europejskich na obszarze LGD. </w:t>
      </w:r>
      <w:r>
        <w:rPr>
          <w:rFonts w:ascii="Times New Roman" w:eastAsia="Times New Roman" w:hAnsi="Times New Roman" w:cs="Times New Roman"/>
        </w:rPr>
        <w:t>Jednym z istotnych wątków, poruszanych w trakcie ewaluacji działalności LGD w poprzednim okresie programowania była kwestia rozpoznawalności LGD na terenach objętych jej działaniem. Pytania dotyczące tego wątku miały w założeniu pozwolić pośrednio na dokonanie oceny efektywności działań promocyjno-komunikacyjnych podejmowanych przez LGD. Efektywność tą na najbardziej podstawowym poziomie w odniesieniu do badanej grupy należy uznać za wysoką,  jako że zdecydowana większość ankietowanych (82%) słyszała o działaniach  podejmowanych przez Lokalną Grupę Działania Bory Dolnośląskie. Osoby te poproszono o wskazanie wszystkich źródeł, z których czerpały wiedzę o działaniach LGD. Najpopularniejszymi kanałami informacyjnymi wymienianymi w tym kontekście - obok lokalnej prasy (37%) oraz rodziny/znajomych/sąsiadów (34%) - były te, tworzone przez samo LGD: publikacje i materiały promocyjne (takie jak ulotki, broszury czy plakaty) (39%) oraz strona internetowa LGD (35%).</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Biorąc pod uwagę uzyskane wyniki i zmieniające się trendy, jeżeli chodzi o efektywne dotarcie z informacją do mieszkańców (rosnącą popularność portali społecznościowych, większa dostępność do Internetu, posiadana baza kontaktów) wykorzystano tylko niektóre narzędzia z pośród tych, które były używane wcześniej.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W trakcie badania ewaluacyjnego podniesiono także wątek świadomości mieszkańców, jeśli chodzi o możliwości pozyskiwania środków, jakie pozostawały w dyspozycji LGD. W tym celu  biorących udział w ankiecie proszono o wybranie z zaprezentowanej im listy wszystkich instytucji/osób, które ich zdaniem mogą pozyskiwać środki na realizację różnych działań na terenie gminy za pośrednictwem LGD. Odpowiedź "mieszkańcy" wybrało w tym kontekście 26% respondentów, zaś "przedsiębiorstwa" - 30%.  Zdecydowanie częściej wskazywano na organizacje pozarządowe (45%) oraz urzędy gmin (66%). W świetle zaprezentowanych danych zasadne wydaje się stwierdzenie, że wciąż istnieje potrzeba popularyzacji możliwości uzyskania środków za pośrednictwem LGD wśród mieszkańców gmin, objętych jej działalnością.</w:t>
      </w:r>
      <w:r>
        <w:rPr>
          <w:rFonts w:ascii="Times New Roman" w:eastAsia="Times New Roman" w:hAnsi="Times New Roman" w:cs="Times New Roman"/>
          <w:color w:val="000000"/>
        </w:rPr>
        <w:t xml:space="preserve">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 ogólny działań informujących o LSR będzie realizowany poprzez następujące cele szczegółowe: </w:t>
      </w:r>
    </w:p>
    <w:p w:rsidR="00294BD0" w:rsidRDefault="00294BD0">
      <w:pPr>
        <w:numPr>
          <w:ilvl w:val="0"/>
          <w:numId w:val="57"/>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informowanie o możliwości uzyskania wsparcia i pomocy w przygotowaniu, realizacji oraz rozliczaniu projektów dofinansowanych w ramach LSR, </w:t>
      </w:r>
    </w:p>
    <w:p w:rsidR="00294BD0" w:rsidRDefault="00294BD0">
      <w:pPr>
        <w:numPr>
          <w:ilvl w:val="0"/>
          <w:numId w:val="57"/>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zwiększenie poziomu świadomości i wiedzy mieszkańców na temat korzyści z członkostwa w Unii Europejskiej oraz z możliwości jakie wnosi LGD, dzięki napływowi Funduszy Europejskich w tym EFRROW, </w:t>
      </w:r>
    </w:p>
    <w:p w:rsidR="00294BD0" w:rsidRDefault="00294BD0">
      <w:pPr>
        <w:numPr>
          <w:ilvl w:val="0"/>
          <w:numId w:val="57"/>
        </w:numPr>
        <w:autoSpaceDE w:val="0"/>
        <w:spacing w:after="0"/>
        <w:jc w:val="both"/>
        <w:rPr>
          <w:rFonts w:ascii="Times New Roman" w:hAnsi="Times New Roman" w:cs="Times New Roman"/>
          <w:b/>
          <w:bCs/>
          <w:color w:val="000000"/>
        </w:rPr>
      </w:pPr>
      <w:r>
        <w:rPr>
          <w:rFonts w:ascii="Times New Roman" w:eastAsia="Times New Roman" w:hAnsi="Times New Roman" w:cs="Times New Roman"/>
          <w:color w:val="000000"/>
        </w:rPr>
        <w:t xml:space="preserve">wzmocnienie pozytywnego wizerunku LGD jako obszaru efektywnie wykorzystującego szanse stwarzane przez członkostwo Polski w Unii Europejskiej, </w:t>
      </w:r>
    </w:p>
    <w:p w:rsidR="00294BD0" w:rsidRDefault="00294BD0">
      <w:pPr>
        <w:tabs>
          <w:tab w:val="left" w:pos="284"/>
        </w:tabs>
        <w:autoSpaceDE w:val="0"/>
        <w:spacing w:after="0"/>
        <w:rPr>
          <w:rFonts w:ascii="Times New Roman" w:hAnsi="Times New Roman" w:cs="Times New Roman"/>
          <w:b/>
          <w:bCs/>
          <w:color w:val="000000"/>
        </w:rPr>
      </w:pPr>
    </w:p>
    <w:p w:rsidR="00294BD0" w:rsidRDefault="00294BD0">
      <w:pPr>
        <w:autoSpaceDE w:val="0"/>
        <w:spacing w:after="0"/>
        <w:jc w:val="both"/>
        <w:rPr>
          <w:rFonts w:ascii="Times New Roman" w:eastAsia="Times New Roman" w:hAnsi="Times New Roman" w:cs="Times New Roman"/>
          <w:b/>
          <w:bCs/>
          <w:color w:val="000000"/>
        </w:rPr>
      </w:pPr>
    </w:p>
    <w:p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Analiza efektywności zastosowanych działań komunikacyjnych i środków przekazu.</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celu określenia efektywności prowadzonych działań komunikacyjnych prowadzone będą przez biuro LGD zestawienia określające:</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odbiorców działań komunikacyjnych w stosunku do złożonych wniosków o dofinansowanie</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działań</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osób korzystających z doradztwa w stosunku do liczby złożonych wniosków o dofinansowanie działań</w:t>
      </w:r>
    </w:p>
    <w:p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złożonych wniosków do LGD w stosunku do liczby wniosków rekomendowanych do</w:t>
      </w:r>
    </w:p>
    <w:p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dofinansowania,</w:t>
      </w:r>
    </w:p>
    <w:p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Liczbę wniosków rekomendowanych do dofinansowania w stosunku do podpisanych umów</w:t>
      </w:r>
    </w:p>
    <w:p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Ponadto prowadzone będzie badanie poziomu satysfakcji z funkcjonowania biura LGD i wdrażania LSR, które zostało opisane w rozdziale Plan komunikacyjny.</w:t>
      </w:r>
    </w:p>
    <w:p w:rsidR="00294BD0" w:rsidRDefault="00294BD0">
      <w:pPr>
        <w:autoSpaceDE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Dzięki zastosowaniu w/w rozwiązań na bieżąco będzie można monitorować efektywność prowadzonych działań komunikacyjnych oraz reagować na pojawiające się problemy. W przypadku osiągania przez LGD niezadawalających wyników przejawiających się w postaci problemów związanych z realizacją LSR czy niskiej akceptacji społeczeństwa dla działań realizowanych przez LGD plan komunikacji będzie podlegał zmianie po uzyskaniu wyników ewaluacji funkcjonowania LGD w tym aspekcie. Dodatkowo informacja o wynikach zestawień i raport z ankiet będą upubliczniane na stronie internetowej LGD. </w:t>
      </w:r>
    </w:p>
    <w:p w:rsidR="00294BD0" w:rsidRDefault="00294BD0">
      <w:pPr>
        <w:autoSpaceDE w:val="0"/>
        <w:spacing w:after="0" w:line="240" w:lineRule="auto"/>
        <w:ind w:left="284"/>
        <w:jc w:val="both"/>
        <w:rPr>
          <w:rFonts w:ascii="Times New Roman" w:eastAsia="Times New Roman" w:hAnsi="Times New Roman" w:cs="Times New Roman"/>
          <w:color w:val="FF0000"/>
        </w:rPr>
      </w:pPr>
    </w:p>
    <w:p w:rsidR="00294BD0" w:rsidRDefault="00294BD0">
      <w:pPr>
        <w:spacing w:after="0"/>
        <w:jc w:val="both"/>
        <w:rPr>
          <w:rFonts w:ascii="Times New Roman" w:hAnsi="Times New Roman" w:cs="Times New Roman"/>
        </w:rPr>
      </w:pPr>
      <w:r>
        <w:rPr>
          <w:rFonts w:ascii="Times New Roman" w:hAnsi="Times New Roman" w:cs="Times New Roman"/>
          <w:b/>
        </w:rPr>
        <w:t>Opis wniosków/opinii zebranych podczas działań komunikacyjnych, sposobu ich wykorzystania w procesie realizacji LSR.</w:t>
      </w:r>
    </w:p>
    <w:p w:rsidR="00294BD0" w:rsidRDefault="00294BD0">
      <w:pPr>
        <w:spacing w:after="0" w:line="240" w:lineRule="auto"/>
        <w:jc w:val="both"/>
        <w:rPr>
          <w:rFonts w:ascii="Times New Roman" w:hAnsi="Times New Roman" w:cs="Times New Roman"/>
        </w:rPr>
      </w:pPr>
      <w:r>
        <w:rPr>
          <w:rFonts w:ascii="Times New Roman" w:hAnsi="Times New Roman" w:cs="Times New Roman"/>
        </w:rPr>
        <w:t>W celu zebrania wniosków i opinii z prowadzonych działań komunikacyjnych prowadzone będą przez pracowników biura LGD poziomu satysfakcji wspomniane wcześniej. W ten sposób mieszkańcy uczestniczący w działaniach komunikacyjnych będą mieli możliwość wyrażenia własnych wniosków co do ich treści, zakresu, przydatności, stopnia zrozumienia oraz sposobu przekazania. Będą również mieli okazję do zgłoszenia własnych wątpliwości, opinii lub propozycji do konkretnego działania komunikacyjnego.</w:t>
      </w:r>
    </w:p>
    <w:p w:rsidR="00294BD0" w:rsidRDefault="00294BD0">
      <w:pPr>
        <w:spacing w:after="0" w:line="240" w:lineRule="auto"/>
        <w:jc w:val="both"/>
        <w:rPr>
          <w:rFonts w:ascii="Times New Roman" w:hAnsi="Times New Roman" w:cs="Times New Roman"/>
        </w:rPr>
      </w:pPr>
      <w:r>
        <w:rPr>
          <w:rFonts w:ascii="Times New Roman" w:hAnsi="Times New Roman" w:cs="Times New Roman"/>
        </w:rPr>
        <w:t>Wyniki zbieranych przez pracowników biura LGD ankiet będą zestawiane oraz przekazywane pod obrady Walnego Zebrania Członków w celu wprowadzenia ewentualnych korekt. Jeżeli organ LGD uzna za stosowne wprowadzenie zmian w procesie komunikacyjnym lub sposobie pracy poszczególnych organów LGD czy też biura podda wnioski pod głosowanie i przyjmie je w formie uchwał.</w:t>
      </w:r>
    </w:p>
    <w:p w:rsidR="00294BD0" w:rsidRDefault="00294BD0">
      <w:pPr>
        <w:spacing w:after="0" w:line="240" w:lineRule="auto"/>
        <w:jc w:val="both"/>
        <w:rPr>
          <w:rFonts w:ascii="Times New Roman" w:hAnsi="Times New Roman" w:cs="Times New Roman"/>
          <w:b/>
        </w:rPr>
      </w:pPr>
      <w:r>
        <w:rPr>
          <w:rFonts w:ascii="Times New Roman" w:hAnsi="Times New Roman" w:cs="Times New Roman"/>
        </w:rPr>
        <w:t>Sam plan komunikacyjny oraz jego aktualizacje będą zamieszczone na stronie internetowej LGD.</w:t>
      </w:r>
    </w:p>
    <w:p w:rsidR="00294BD0" w:rsidRDefault="00294BD0">
      <w:pPr>
        <w:tabs>
          <w:tab w:val="left" w:pos="1770"/>
        </w:tabs>
        <w:spacing w:after="0"/>
        <w:rPr>
          <w:rFonts w:ascii="Times New Roman" w:hAnsi="Times New Roman" w:cs="Times New Roman"/>
          <w:b/>
        </w:rPr>
      </w:pPr>
    </w:p>
    <w:p w:rsidR="00294BD0" w:rsidRDefault="00294BD0">
      <w:pPr>
        <w:tabs>
          <w:tab w:val="left" w:pos="1770"/>
        </w:tabs>
        <w:spacing w:after="0"/>
        <w:rPr>
          <w:rFonts w:ascii="Times New Roman" w:hAnsi="Times New Roman" w:cs="Times New Roman"/>
        </w:rPr>
      </w:pPr>
      <w:r>
        <w:rPr>
          <w:rFonts w:ascii="Times New Roman" w:hAnsi="Times New Roman" w:cs="Times New Roman"/>
          <w:b/>
        </w:rPr>
        <w:t>Budżet na działania komunikacyjne</w:t>
      </w:r>
    </w:p>
    <w:p w:rsidR="00294BD0" w:rsidRDefault="00294BD0">
      <w:pPr>
        <w:tabs>
          <w:tab w:val="left" w:pos="1770"/>
        </w:tabs>
        <w:spacing w:after="0"/>
        <w:jc w:val="both"/>
        <w:rPr>
          <w:rFonts w:ascii="Times New Roman" w:hAnsi="Times New Roman" w:cs="Times New Roman"/>
        </w:rPr>
      </w:pPr>
      <w:r>
        <w:rPr>
          <w:rFonts w:ascii="Times New Roman" w:hAnsi="Times New Roman" w:cs="Times New Roman"/>
        </w:rPr>
        <w:t>LGD zaplanowało do realizacji w planie komunikacyjnym takie działania, których wykonanie nie wymaga zbyt wielu nakładów finansowych i będzie mieściło się w ramach kosztów bieżących i aktywizacji. Główny koszt będzie dotyczył opłaty za bieżącą obsługę strony internetowej tj, ok. 1000 zł raz na kwartał oraz za prowadzenie usług szkoleniowo-doradczych w przypadku operacji z zakresu rozwoju przedsiębiorczości na obszarze wiejskim objętym strategią rozwoju lokalnego kierowanego przez społeczność (pozycja ta została przedstawiona w Planie Działania) tj. ok</w:t>
      </w:r>
      <w:r>
        <w:rPr>
          <w:rFonts w:ascii="Times New Roman" w:hAnsi="Times New Roman" w:cs="Times New Roman"/>
          <w:color w:val="FF0000"/>
        </w:rPr>
        <w:t xml:space="preserve">. </w:t>
      </w:r>
      <w:r>
        <w:rPr>
          <w:rFonts w:ascii="Times New Roman" w:hAnsi="Times New Roman" w:cs="Times New Roman"/>
          <w:color w:val="000000"/>
        </w:rPr>
        <w:t>3.600 zł</w:t>
      </w:r>
      <w:r>
        <w:rPr>
          <w:rFonts w:ascii="Times New Roman" w:hAnsi="Times New Roman" w:cs="Times New Roman"/>
          <w:color w:val="FF0000"/>
        </w:rPr>
        <w:t xml:space="preserve"> </w:t>
      </w:r>
      <w:r>
        <w:rPr>
          <w:rFonts w:ascii="Times New Roman" w:hAnsi="Times New Roman" w:cs="Times New Roman"/>
        </w:rPr>
        <w:t>za cały okres programowania.</w:t>
      </w:r>
    </w:p>
    <w:p w:rsidR="00294BD0" w:rsidRDefault="00294BD0">
      <w:pPr>
        <w:tabs>
          <w:tab w:val="left" w:pos="1770"/>
        </w:tabs>
        <w:spacing w:after="0"/>
        <w:jc w:val="both"/>
        <w:rPr>
          <w:rFonts w:ascii="Times New Roman" w:hAnsi="Times New Roman" w:cs="Times New Roman"/>
        </w:rPr>
      </w:pPr>
    </w:p>
    <w:p w:rsidR="00294BD0" w:rsidRDefault="00294BD0">
      <w:pPr>
        <w:tabs>
          <w:tab w:val="left" w:pos="12270"/>
        </w:tabs>
      </w:pPr>
    </w:p>
    <w:sectPr w:rsidR="00294BD0">
      <w:footerReference w:type="default" r:id="rId3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3BCD" w:rsidRDefault="00263BCD">
      <w:pPr>
        <w:spacing w:after="0" w:line="240" w:lineRule="auto"/>
      </w:pPr>
      <w:r>
        <w:separator/>
      </w:r>
    </w:p>
  </w:endnote>
  <w:endnote w:type="continuationSeparator" w:id="0">
    <w:p w:rsidR="00263BCD" w:rsidRDefault="0026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16</w:t>
    </w:r>
    <w:r>
      <w:fldChar w:fldCharType="end"/>
    </w:r>
  </w:p>
  <w:p w:rsidR="00294BD0" w:rsidRDefault="00294BD0">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76</w:t>
    </w:r>
    <w:r>
      <w:fldChar w:fldCharType="end"/>
    </w:r>
  </w:p>
  <w:p w:rsidR="00294BD0" w:rsidRDefault="00294BD0">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80</w:t>
    </w:r>
    <w:r>
      <w:fldChar w:fldCharType="end"/>
    </w:r>
  </w:p>
  <w:p w:rsidR="00294BD0" w:rsidRDefault="00294BD0">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84</w:t>
    </w:r>
    <w:r>
      <w:fldChar w:fldCharType="end"/>
    </w:r>
  </w:p>
  <w:p w:rsidR="00294BD0" w:rsidRDefault="00294B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19</w:t>
    </w:r>
    <w:r>
      <w:fldChar w:fldCharType="end"/>
    </w:r>
  </w:p>
  <w:p w:rsidR="00294BD0" w:rsidRDefault="00294B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42</w:t>
    </w:r>
    <w:r>
      <w:fldChar w:fldCharType="end"/>
    </w:r>
  </w:p>
  <w:p w:rsidR="00294BD0" w:rsidRDefault="00294BD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45</w:t>
    </w:r>
    <w:r>
      <w:fldChar w:fldCharType="end"/>
    </w:r>
  </w:p>
  <w:p w:rsidR="00294BD0" w:rsidRDefault="00294BD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48</w:t>
    </w:r>
    <w:r>
      <w:fldChar w:fldCharType="end"/>
    </w:r>
  </w:p>
  <w:p w:rsidR="00294BD0" w:rsidRDefault="00294BD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54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56</w:t>
    </w:r>
    <w:r>
      <w:fldChar w:fldCharType="end"/>
    </w:r>
  </w:p>
  <w:p w:rsidR="00294BD0" w:rsidRDefault="00294BD0">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68</w:t>
    </w:r>
    <w:r>
      <w:fldChar w:fldCharType="end"/>
    </w:r>
  </w:p>
  <w:p w:rsidR="00294BD0" w:rsidRDefault="00294BD0">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4BD0" w:rsidRDefault="00294BD0">
    <w:pPr>
      <w:pStyle w:val="Stopka"/>
      <w:jc w:val="right"/>
    </w:pPr>
    <w:r>
      <w:fldChar w:fldCharType="begin"/>
    </w:r>
    <w:r>
      <w:instrText xml:space="preserve"> PAGE </w:instrText>
    </w:r>
    <w:r>
      <w:fldChar w:fldCharType="separate"/>
    </w:r>
    <w:r>
      <w:t>75</w:t>
    </w:r>
    <w:r>
      <w:fldChar w:fldCharType="end"/>
    </w:r>
  </w:p>
  <w:p w:rsidR="00294BD0" w:rsidRDefault="00294B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3BCD" w:rsidRDefault="00263BCD">
      <w:pPr>
        <w:spacing w:after="0" w:line="240" w:lineRule="auto"/>
      </w:pPr>
      <w:r>
        <w:separator/>
      </w:r>
    </w:p>
  </w:footnote>
  <w:footnote w:type="continuationSeparator" w:id="0">
    <w:p w:rsidR="00263BCD" w:rsidRDefault="00263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84"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00000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b/>
        <w:color w:val="000000"/>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Symbol" w:hAnsi="Symbol" w:cs="Times New Roman"/>
        <w:color w:val="00000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eastAsia="Times New Roman" w:hAnsi="Times New Roman" w:cs="Times New Roman"/>
        <w:color w:val="000000"/>
      </w:rPr>
    </w:lvl>
    <w:lvl w:ilvl="1">
      <w:start w:val="1"/>
      <w:numFmt w:val="decimal"/>
      <w:lvlText w:val="%1.%2"/>
      <w:lvlJc w:val="left"/>
      <w:pPr>
        <w:tabs>
          <w:tab w:val="num" w:pos="0"/>
        </w:tabs>
        <w:ind w:left="720" w:hanging="360"/>
      </w:pPr>
      <w:rPr>
        <w:rFonts w:ascii="Times New Roman" w:eastAsia="Times New Roman" w:hAnsi="Times New Roman" w:cs="Times New Roman"/>
        <w:color w:val="000000"/>
      </w:rPr>
    </w:lvl>
    <w:lvl w:ilvl="2">
      <w:start w:val="1"/>
      <w:numFmt w:val="decimal"/>
      <w:lvlText w:val="%1.%2.%3"/>
      <w:lvlJc w:val="left"/>
      <w:pPr>
        <w:tabs>
          <w:tab w:val="num" w:pos="0"/>
        </w:tabs>
        <w:ind w:left="1440" w:hanging="720"/>
      </w:pPr>
      <w:rPr>
        <w:rFonts w:ascii="Times New Roman" w:eastAsia="Times New Roman" w:hAnsi="Times New Roman" w:cs="Times New Roman"/>
        <w:color w:val="000000"/>
      </w:rPr>
    </w:lvl>
    <w:lvl w:ilvl="3">
      <w:start w:val="1"/>
      <w:numFmt w:val="decimal"/>
      <w:lvlText w:val="%1.%2.%3.%4"/>
      <w:lvlJc w:val="left"/>
      <w:pPr>
        <w:tabs>
          <w:tab w:val="num" w:pos="0"/>
        </w:tabs>
        <w:ind w:left="1800" w:hanging="720"/>
      </w:pPr>
      <w:rPr>
        <w:rFonts w:ascii="Times New Roman" w:eastAsia="Times New Roman" w:hAnsi="Times New Roman" w:cs="Times New Roman"/>
        <w:color w:val="000000"/>
      </w:rPr>
    </w:lvl>
    <w:lvl w:ilvl="4">
      <w:start w:val="1"/>
      <w:numFmt w:val="decimal"/>
      <w:lvlText w:val="%1.%2.%3.%4.%5"/>
      <w:lvlJc w:val="left"/>
      <w:pPr>
        <w:tabs>
          <w:tab w:val="num" w:pos="0"/>
        </w:tabs>
        <w:ind w:left="2520" w:hanging="1080"/>
      </w:pPr>
      <w:rPr>
        <w:rFonts w:ascii="Times New Roman" w:eastAsia="Times New Roman" w:hAnsi="Times New Roman" w:cs="Times New Roman"/>
        <w:color w:val="000000"/>
      </w:rPr>
    </w:lvl>
    <w:lvl w:ilvl="5">
      <w:start w:val="1"/>
      <w:numFmt w:val="decimal"/>
      <w:lvlText w:val="%1.%2.%3.%4.%5.%6"/>
      <w:lvlJc w:val="left"/>
      <w:pPr>
        <w:tabs>
          <w:tab w:val="num" w:pos="0"/>
        </w:tabs>
        <w:ind w:left="2880" w:hanging="1080"/>
      </w:pPr>
      <w:rPr>
        <w:rFonts w:ascii="Times New Roman" w:eastAsia="Times New Roman" w:hAnsi="Times New Roman" w:cs="Times New Roman"/>
        <w:color w:val="000000"/>
      </w:rPr>
    </w:lvl>
    <w:lvl w:ilvl="6">
      <w:start w:val="1"/>
      <w:numFmt w:val="decimal"/>
      <w:lvlText w:val="%1.%2.%3.%4.%5.%6.%7"/>
      <w:lvlJc w:val="left"/>
      <w:pPr>
        <w:tabs>
          <w:tab w:val="num" w:pos="0"/>
        </w:tabs>
        <w:ind w:left="3600" w:hanging="1440"/>
      </w:pPr>
      <w:rPr>
        <w:rFonts w:ascii="Times New Roman" w:eastAsia="Times New Roman" w:hAnsi="Times New Roman" w:cs="Times New Roman"/>
        <w:color w:val="000000"/>
      </w:rPr>
    </w:lvl>
    <w:lvl w:ilvl="7">
      <w:start w:val="1"/>
      <w:numFmt w:val="decimal"/>
      <w:lvlText w:val="%1.%2.%3.%4.%5.%6.%7.%8"/>
      <w:lvlJc w:val="left"/>
      <w:pPr>
        <w:tabs>
          <w:tab w:val="num" w:pos="0"/>
        </w:tabs>
        <w:ind w:left="3960" w:hanging="1440"/>
      </w:pPr>
      <w:rPr>
        <w:rFonts w:ascii="Times New Roman" w:eastAsia="Times New Roman" w:hAnsi="Times New Roman" w:cs="Times New Roman"/>
        <w:color w:val="000000"/>
      </w:rPr>
    </w:lvl>
    <w:lvl w:ilvl="8">
      <w:start w:val="1"/>
      <w:numFmt w:val="decimal"/>
      <w:lvlText w:val="%1.%2.%3.%4.%5.%6.%7.%8.%9"/>
      <w:lvlJc w:val="left"/>
      <w:pPr>
        <w:tabs>
          <w:tab w:val="num" w:pos="0"/>
        </w:tabs>
        <w:ind w:left="4320" w:hanging="1440"/>
      </w:pPr>
      <w:rPr>
        <w:rFonts w:ascii="Times New Roman" w:eastAsia="Times New Roman" w:hAnsi="Times New Roman" w:cs="Times New Roman"/>
        <w:color w:val="00000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Wingdings" w:hAnsi="Wingdings" w:cs="Symbol" w:hint="default"/>
        <w:color w:val="00000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z w:val="23"/>
        <w:szCs w:val="23"/>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Times New Roman" w:hint="default"/>
        <w:color w:val="00000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Wingdings" w:hAnsi="Wingdings" w:cs="Times New Roman"/>
        <w:color w:val="000000"/>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Times New Roman"/>
        <w:color w:val="000000"/>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Wingdings"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708"/>
        </w:tabs>
        <w:ind w:left="720" w:hanging="360"/>
      </w:pPr>
      <w:rPr>
        <w:rFonts w:ascii="Symbol" w:hAnsi="Symbol" w:cs="Symbol" w:hint="default"/>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1140" w:hanging="360"/>
      </w:pPr>
      <w:rPr>
        <w:rFonts w:ascii="Wingdings" w:hAnsi="Wingdings" w:cs="Symbol" w:hint="default"/>
        <w:color w:val="000000"/>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color w:val="000000"/>
        <w:sz w:val="23"/>
        <w:szCs w:val="23"/>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146" w:hanging="360"/>
      </w:pPr>
      <w:rPr>
        <w:rFonts w:ascii="Symbol" w:hAnsi="Symbol" w:cs="Symbol" w:hint="default"/>
        <w:strike/>
        <w:color w:val="000000"/>
        <w:lang w:eastAsia="en-US" w:bidi="en-US"/>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Wingdings" w:hint="default"/>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Times New Roman"/>
        <w:i/>
        <w:color w:val="000000"/>
      </w:rPr>
    </w:lvl>
  </w:abstractNum>
  <w:abstractNum w:abstractNumId="26" w15:restartNumberingAfterBreak="0">
    <w:nsid w:val="0000001B"/>
    <w:multiLevelType w:val="multilevel"/>
    <w:tmpl w:val="0000001B"/>
    <w:name w:val="WW8Num27"/>
    <w:lvl w:ilvl="0">
      <w:start w:val="1"/>
      <w:numFmt w:val="decimal"/>
      <w:lvlText w:val="%1"/>
      <w:lvlJc w:val="left"/>
      <w:pPr>
        <w:tabs>
          <w:tab w:val="num" w:pos="708"/>
        </w:tabs>
        <w:ind w:left="360" w:hanging="360"/>
      </w:pPr>
      <w:rPr>
        <w:rFonts w:ascii="Symbol" w:eastAsia="Times New Roman" w:hAnsi="Symbol" w:cs="Symbol" w:hint="default"/>
        <w:color w:val="000000"/>
      </w:rPr>
    </w:lvl>
    <w:lvl w:ilvl="1">
      <w:start w:val="1"/>
      <w:numFmt w:val="decimal"/>
      <w:lvlText w:val="%1.%2"/>
      <w:lvlJc w:val="left"/>
      <w:pPr>
        <w:tabs>
          <w:tab w:val="num" w:pos="0"/>
        </w:tabs>
        <w:ind w:left="720" w:hanging="360"/>
      </w:pPr>
      <w:rPr>
        <w:rFonts w:ascii="Symbol" w:eastAsia="Times New Roman" w:hAnsi="Symbol" w:cs="Symbol" w:hint="default"/>
        <w:color w:val="000000"/>
      </w:rPr>
    </w:lvl>
    <w:lvl w:ilvl="2">
      <w:start w:val="1"/>
      <w:numFmt w:val="decimal"/>
      <w:lvlText w:val="%1.%2.%3"/>
      <w:lvlJc w:val="left"/>
      <w:pPr>
        <w:tabs>
          <w:tab w:val="num" w:pos="0"/>
        </w:tabs>
        <w:ind w:left="1440" w:hanging="720"/>
      </w:pPr>
      <w:rPr>
        <w:rFonts w:ascii="Symbol" w:eastAsia="Times New Roman" w:hAnsi="Symbol" w:cs="Symbol" w:hint="default"/>
        <w:color w:val="000000"/>
      </w:rPr>
    </w:lvl>
    <w:lvl w:ilvl="3">
      <w:start w:val="1"/>
      <w:numFmt w:val="decimal"/>
      <w:lvlText w:val="%1.%2.%3.%4"/>
      <w:lvlJc w:val="left"/>
      <w:pPr>
        <w:tabs>
          <w:tab w:val="num" w:pos="0"/>
        </w:tabs>
        <w:ind w:left="1800" w:hanging="720"/>
      </w:pPr>
      <w:rPr>
        <w:rFonts w:ascii="Symbol" w:eastAsia="Times New Roman" w:hAnsi="Symbol" w:cs="Symbol" w:hint="default"/>
        <w:color w:val="000000"/>
      </w:rPr>
    </w:lvl>
    <w:lvl w:ilvl="4">
      <w:start w:val="1"/>
      <w:numFmt w:val="decimal"/>
      <w:lvlText w:val="%1.%2.%3.%4.%5"/>
      <w:lvlJc w:val="left"/>
      <w:pPr>
        <w:tabs>
          <w:tab w:val="num" w:pos="0"/>
        </w:tabs>
        <w:ind w:left="2520" w:hanging="1080"/>
      </w:pPr>
      <w:rPr>
        <w:rFonts w:ascii="Symbol" w:eastAsia="Times New Roman" w:hAnsi="Symbol" w:cs="Symbol" w:hint="default"/>
        <w:color w:val="000000"/>
      </w:rPr>
    </w:lvl>
    <w:lvl w:ilvl="5">
      <w:start w:val="1"/>
      <w:numFmt w:val="decimal"/>
      <w:lvlText w:val="%1.%2.%3.%4.%5.%6"/>
      <w:lvlJc w:val="left"/>
      <w:pPr>
        <w:tabs>
          <w:tab w:val="num" w:pos="0"/>
        </w:tabs>
        <w:ind w:left="2880" w:hanging="1080"/>
      </w:pPr>
      <w:rPr>
        <w:rFonts w:ascii="Symbol" w:eastAsia="Times New Roman" w:hAnsi="Symbol" w:cs="Symbol" w:hint="default"/>
        <w:color w:val="000000"/>
      </w:rPr>
    </w:lvl>
    <w:lvl w:ilvl="6">
      <w:start w:val="1"/>
      <w:numFmt w:val="decimal"/>
      <w:lvlText w:val="%1.%2.%3.%4.%5.%6.%7"/>
      <w:lvlJc w:val="left"/>
      <w:pPr>
        <w:tabs>
          <w:tab w:val="num" w:pos="0"/>
        </w:tabs>
        <w:ind w:left="3600" w:hanging="1440"/>
      </w:pPr>
      <w:rPr>
        <w:rFonts w:ascii="Symbol" w:eastAsia="Times New Roman" w:hAnsi="Symbol" w:cs="Symbol" w:hint="default"/>
        <w:color w:val="000000"/>
      </w:rPr>
    </w:lvl>
    <w:lvl w:ilvl="7">
      <w:start w:val="1"/>
      <w:numFmt w:val="decimal"/>
      <w:lvlText w:val="%1.%2.%3.%4.%5.%6.%7.%8"/>
      <w:lvlJc w:val="left"/>
      <w:pPr>
        <w:tabs>
          <w:tab w:val="num" w:pos="0"/>
        </w:tabs>
        <w:ind w:left="3960" w:hanging="1440"/>
      </w:pPr>
      <w:rPr>
        <w:rFonts w:ascii="Symbol" w:eastAsia="Times New Roman" w:hAnsi="Symbol" w:cs="Symbol" w:hint="default"/>
        <w:color w:val="000000"/>
      </w:rPr>
    </w:lvl>
    <w:lvl w:ilvl="8">
      <w:start w:val="1"/>
      <w:numFmt w:val="decimal"/>
      <w:lvlText w:val="%1.%2.%3.%4.%5.%6.%7.%8.%9"/>
      <w:lvlJc w:val="left"/>
      <w:pPr>
        <w:tabs>
          <w:tab w:val="num" w:pos="0"/>
        </w:tabs>
        <w:ind w:left="4320" w:hanging="1440"/>
      </w:pPr>
      <w:rPr>
        <w:rFonts w:ascii="Symbol" w:eastAsia="Times New Roman" w:hAnsi="Symbol" w:cs="Symbol" w:hint="default"/>
        <w:color w:val="000000"/>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080" w:hanging="360"/>
      </w:pPr>
      <w:rPr>
        <w:rFonts w:ascii="Symbol" w:hAnsi="Symbol" w:cs="Times New Roman"/>
        <w:b/>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Wingdings" w:hint="default"/>
        <w:color w:val="000000"/>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Symbol" w:eastAsia="Times New Roman" w:hAnsi="Symbol" w:cs="Symbol" w:hint="default"/>
        <w:b/>
        <w:color w:val="000000"/>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Times New Roman"/>
        <w:color w:val="000000"/>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146"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hint="default"/>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Times New Roman"/>
        <w:b/>
        <w:color w:val="000000"/>
        <w:sz w:val="22"/>
        <w:szCs w:val="22"/>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color w:val="00000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Times New Roman" w:hint="default"/>
        <w:b/>
        <w:color w:val="000000"/>
        <w:sz w:val="22"/>
        <w:szCs w:val="22"/>
      </w:r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1080" w:hanging="360"/>
      </w:pPr>
      <w:rPr>
        <w:rFonts w:ascii="Symbol" w:hAnsi="Symbol" w:cs="Times New Roman"/>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color w:val="00000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1440" w:hanging="360"/>
      </w:pPr>
      <w:rPr>
        <w:rFonts w:ascii="Symbol" w:hAnsi="Symbol" w:cs="Symbol" w:hint="default"/>
      </w:rPr>
    </w:lvl>
  </w:abstractNum>
  <w:abstractNum w:abstractNumId="42" w15:restartNumberingAfterBreak="0">
    <w:nsid w:val="0000002B"/>
    <w:multiLevelType w:val="singleLevel"/>
    <w:tmpl w:val="0000002B"/>
    <w:name w:val="WW8Num43"/>
    <w:lvl w:ilvl="0">
      <w:start w:val="5"/>
      <w:numFmt w:val="decimal"/>
      <w:lvlText w:val="%1."/>
      <w:lvlJc w:val="left"/>
      <w:pPr>
        <w:tabs>
          <w:tab w:val="num" w:pos="0"/>
        </w:tabs>
        <w:ind w:left="720" w:hanging="360"/>
      </w:pPr>
      <w:rPr>
        <w:rFonts w:ascii="Symbol" w:eastAsia="Times New Roman" w:hAnsi="Symbol" w:cs="Symbol" w:hint="default"/>
        <w:strike/>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color w:val="000000"/>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Times New Roman"/>
        <w:color w:val="000000"/>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46" w15:restartNumberingAfterBreak="0">
    <w:nsid w:val="0000002F"/>
    <w:multiLevelType w:val="singleLevel"/>
    <w:tmpl w:val="0000002F"/>
    <w:name w:val="WW8Num47"/>
    <w:lvl w:ilvl="0">
      <w:start w:val="1"/>
      <w:numFmt w:val="bullet"/>
      <w:lvlText w:val=""/>
      <w:lvlJc w:val="left"/>
      <w:pPr>
        <w:tabs>
          <w:tab w:val="num" w:pos="0"/>
        </w:tabs>
        <w:ind w:left="1440" w:hanging="360"/>
      </w:pPr>
      <w:rPr>
        <w:rFonts w:ascii="Symbol" w:hAnsi="Symbol" w:cs="Times New Roman"/>
        <w:color w:val="000000"/>
      </w:r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1440" w:hanging="360"/>
      </w:pPr>
      <w:rPr>
        <w:rFonts w:ascii="Wingdings" w:hAnsi="Wingdings" w:cs="Times New Roman"/>
      </w:rPr>
    </w:lvl>
  </w:abstractNum>
  <w:abstractNum w:abstractNumId="48" w15:restartNumberingAfterBreak="0">
    <w:nsid w:val="00000031"/>
    <w:multiLevelType w:val="singleLevel"/>
    <w:tmpl w:val="00000031"/>
    <w:name w:val="WW8Num49"/>
    <w:lvl w:ilvl="0">
      <w:start w:val="1"/>
      <w:numFmt w:val="bullet"/>
      <w:lvlText w:val=""/>
      <w:lvlJc w:val="left"/>
      <w:pPr>
        <w:tabs>
          <w:tab w:val="num" w:pos="0"/>
        </w:tabs>
        <w:ind w:left="1146" w:hanging="360"/>
      </w:pPr>
      <w:rPr>
        <w:rFonts w:ascii="Symbol" w:hAnsi="Symbol" w:cs="Times New Roman" w:hint="default"/>
        <w:b/>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color w:val="000000"/>
      </w:rPr>
    </w:lvl>
  </w:abstractNum>
  <w:abstractNum w:abstractNumId="50" w15:restartNumberingAfterBreak="0">
    <w:nsid w:val="00000033"/>
    <w:multiLevelType w:val="multilevel"/>
    <w:tmpl w:val="00000033"/>
    <w:name w:val="WW8Num51"/>
    <w:lvl w:ilvl="0">
      <w:start w:val="1"/>
      <w:numFmt w:val="decimal"/>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708"/>
        </w:tabs>
        <w:ind w:left="2880" w:hanging="360"/>
      </w:pPr>
      <w:rPr>
        <w:rFonts w:ascii="Symbol" w:hAnsi="Symbol" w:cs="Symbol"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rPr>
        <w:rFonts w:ascii="Symbol" w:eastAsia="Times New Roman" w:hAnsi="Symbol" w:cs="Symbol" w:hint="default"/>
        <w:color w:val="000000"/>
        <w:sz w:val="22"/>
        <w:szCs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rPr>
        <w:rFonts w:ascii="Times New Roman" w:eastAsia="Times New Roman" w:hAnsi="Times New Roman" w:cs="Times New Roman"/>
        <w:i/>
        <w:color w:val="000000"/>
        <w:sz w:val="24"/>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bullet"/>
      <w:lvlText w:val=""/>
      <w:lvlJc w:val="left"/>
      <w:pPr>
        <w:tabs>
          <w:tab w:val="num" w:pos="1440"/>
        </w:tabs>
        <w:ind w:left="1440" w:hanging="360"/>
      </w:pPr>
      <w:rPr>
        <w:rFonts w:ascii="Symbol" w:hAnsi="Symbol" w:cs="Times New Roman"/>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Times New Roman"/>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720" w:hanging="360"/>
      </w:pPr>
      <w:rPr>
        <w:rFonts w:ascii="Symbol" w:eastAsia="Times New Roman" w:hAnsi="Symbol" w:cs="Symbol" w:hint="default"/>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720" w:hanging="360"/>
      </w:pPr>
      <w:rPr>
        <w:rFonts w:ascii="Symbol" w:eastAsia="Times New Roman" w:hAnsi="Symbol" w:cs="Symbol" w:hint="default"/>
        <w:b/>
        <w:bCs/>
        <w:color w:val="000000"/>
        <w:sz w:val="22"/>
        <w:szCs w:val="22"/>
      </w:rPr>
    </w:lvl>
  </w:abstractNum>
  <w:abstractNum w:abstractNumId="57" w15:restartNumberingAfterBreak="0">
    <w:nsid w:val="0000003A"/>
    <w:multiLevelType w:val="multilevel"/>
    <w:tmpl w:val="0000003A"/>
    <w:name w:val="WW8Num58"/>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Times New Roman" w:hAnsi="Times New Roman" w:cs="Times New Roman"/>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D"/>
    <w:multiLevelType w:val="multilevel"/>
    <w:tmpl w:val="0000003D"/>
    <w:name w:val="WW8Num61"/>
    <w:lvl w:ilvl="0">
      <w:start w:val="1"/>
      <w:numFmt w:val="decimal"/>
      <w:lvlText w:val="%1."/>
      <w:lvlJc w:val="left"/>
      <w:pPr>
        <w:tabs>
          <w:tab w:val="num" w:pos="0"/>
        </w:tabs>
        <w:ind w:left="720" w:hanging="360"/>
      </w:pPr>
      <w:rPr>
        <w:rFonts w:ascii="Times New Roman" w:eastAsia="Times New Roman" w:hAnsi="Times New Roman" w:cs="Times New Roman"/>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name w:val="WW8Num62"/>
    <w:lvl w:ilvl="0">
      <w:start w:val="1"/>
      <w:numFmt w:val="decimal"/>
      <w:lvlText w:val="%1."/>
      <w:lvlJc w:val="left"/>
      <w:pPr>
        <w:tabs>
          <w:tab w:val="num" w:pos="0"/>
        </w:tabs>
        <w:ind w:left="720" w:hanging="360"/>
      </w:pPr>
      <w:rPr>
        <w:rFonts w:ascii="Times New Roman" w:eastAsia="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multilevel"/>
    <w:tmpl w:val="0000003F"/>
    <w:name w:val="WW8Num63"/>
    <w:lvl w:ilvl="0">
      <w:start w:val="1"/>
      <w:numFmt w:val="decimal"/>
      <w:lvlText w:val="%1."/>
      <w:lvlJc w:val="left"/>
      <w:pPr>
        <w:tabs>
          <w:tab w:val="num" w:pos="0"/>
        </w:tabs>
        <w:ind w:left="720" w:hanging="360"/>
      </w:pPr>
      <w:rPr>
        <w:rFonts w:ascii="Symbol" w:eastAsia="Times New Roman" w:hAnsi="Symbol" w:cs="Symbol" w:hint="default"/>
        <w:b/>
        <w:color w:val="000000"/>
        <w:sz w:val="22"/>
        <w:szCs w:val="22"/>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4"/>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5"/>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2"/>
    <w:multiLevelType w:val="multilevel"/>
    <w:tmpl w:val="00000042"/>
    <w:name w:val="WW8Num66"/>
    <w:lvl w:ilvl="0">
      <w:start w:val="1"/>
      <w:numFmt w:val="decimal"/>
      <w:lvlText w:val="%1."/>
      <w:lvlJc w:val="left"/>
      <w:pPr>
        <w:tabs>
          <w:tab w:val="num" w:pos="1080"/>
        </w:tabs>
        <w:ind w:left="1080" w:hanging="360"/>
      </w:pPr>
      <w:rPr>
        <w:rFonts w:ascii="Times New Roman" w:hAnsi="Times New Roman" w:cs="Times New Roman"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multilevel"/>
    <w:tmpl w:val="00000044"/>
    <w:name w:val="WW8Num68"/>
    <w:lvl w:ilvl="0">
      <w:start w:val="1"/>
      <w:numFmt w:val="decimal"/>
      <w:lvlText w:val="%1."/>
      <w:lvlJc w:val="left"/>
      <w:pPr>
        <w:tabs>
          <w:tab w:val="num" w:pos="0"/>
        </w:tabs>
        <w:ind w:left="720" w:hanging="360"/>
      </w:pPr>
      <w:rPr>
        <w:rFonts w:ascii="Times New Roman" w:eastAsia="Times New Roman" w:hAnsi="Times New Roman" w:cs="Times New Roman"/>
        <w:b/>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name w:val="WW8Num69"/>
    <w:lvl w:ilvl="0">
      <w:start w:val="1"/>
      <w:numFmt w:val="decimal"/>
      <w:lvlText w:val="%1."/>
      <w:lvlJc w:val="left"/>
      <w:pPr>
        <w:tabs>
          <w:tab w:val="num" w:pos="0"/>
        </w:tabs>
        <w:ind w:left="720" w:hanging="360"/>
      </w:pPr>
      <w:rPr>
        <w:rFonts w:ascii="Times New Roman" w:eastAsia="Times New Roman" w:hAnsi="Times New Roman" w:cs="Times New Roman" w:hint="default"/>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70"/>
    <w:lvl w:ilvl="0">
      <w:start w:val="1"/>
      <w:numFmt w:val="lowerLetter"/>
      <w:lvlText w:val="%1."/>
      <w:lvlJc w:val="left"/>
      <w:pPr>
        <w:tabs>
          <w:tab w:val="num" w:pos="0"/>
        </w:tabs>
        <w:ind w:left="786" w:hanging="360"/>
      </w:pPr>
      <w:rPr>
        <w:rFonts w:ascii="Times New Roman" w:eastAsia="Times New Roman" w:hAnsi="Times New Roman" w:cs="Times New Roman"/>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0" w15:restartNumberingAfterBreak="0">
    <w:nsid w:val="00000047"/>
    <w:multiLevelType w:val="multilevel"/>
    <w:tmpl w:val="00000047"/>
    <w:name w:val="WW8Num71"/>
    <w:lvl w:ilvl="0">
      <w:start w:val="1"/>
      <w:numFmt w:val="decimal"/>
      <w:lvlText w:val="%1)"/>
      <w:lvlJc w:val="left"/>
      <w:pPr>
        <w:tabs>
          <w:tab w:val="num" w:pos="0"/>
        </w:tabs>
        <w:ind w:left="720" w:hanging="360"/>
      </w:pPr>
      <w:rPr>
        <w:rFonts w:ascii="Symbol" w:eastAsia="Times New Roman" w:hAnsi="Symbol" w:cs="Symbol"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8"/>
    <w:multiLevelType w:val="multilevel"/>
    <w:tmpl w:val="00000048"/>
    <w:name w:val="WW8Num72"/>
    <w:lvl w:ilvl="0">
      <w:start w:val="1"/>
      <w:numFmt w:val="lowerLetter"/>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9"/>
    <w:multiLevelType w:val="multilevel"/>
    <w:tmpl w:val="00000049"/>
    <w:name w:val="WW8Num73"/>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4"/>
    <w:lvl w:ilvl="0">
      <w:start w:val="2"/>
      <w:numFmt w:val="decimal"/>
      <w:lvlText w:val="%1."/>
      <w:lvlJc w:val="left"/>
      <w:pPr>
        <w:tabs>
          <w:tab w:val="num" w:pos="0"/>
        </w:tabs>
        <w:ind w:left="720" w:hanging="360"/>
      </w:pPr>
      <w:rPr>
        <w:rFonts w:ascii="Symbol" w:eastAsia="Times New Roman" w:hAnsi="Symbol" w:cs="Symbol" w:hint="default"/>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B"/>
    <w:multiLevelType w:val="multilevel"/>
    <w:tmpl w:val="0000004B"/>
    <w:name w:val="WW8Num75"/>
    <w:lvl w:ilvl="0">
      <w:start w:val="1"/>
      <w:numFmt w:val="decimal"/>
      <w:lvlText w:val="%1."/>
      <w:lvlJc w:val="left"/>
      <w:pPr>
        <w:tabs>
          <w:tab w:val="num" w:pos="0"/>
        </w:tabs>
        <w:ind w:left="720" w:hanging="360"/>
      </w:pPr>
      <w:rPr>
        <w:rFonts w:ascii="Wingdings" w:eastAsia="Times New Roman" w:hAnsi="Wingdings" w:cs="Wingdings" w:hint="default"/>
        <w:bCs/>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name w:val="WW8Num76"/>
    <w:lvl w:ilvl="0">
      <w:start w:val="1"/>
      <w:numFmt w:val="lowerLetter"/>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D"/>
    <w:multiLevelType w:val="multilevel"/>
    <w:tmpl w:val="0000004D"/>
    <w:name w:val="WW8Num77"/>
    <w:lvl w:ilvl="0">
      <w:start w:val="1"/>
      <w:numFmt w:val="decimal"/>
      <w:lvlText w:val="%1."/>
      <w:lvlJc w:val="left"/>
      <w:pPr>
        <w:tabs>
          <w:tab w:val="num" w:pos="0"/>
        </w:tabs>
        <w:ind w:left="644" w:hanging="360"/>
      </w:pPr>
      <w:rPr>
        <w:rFonts w:ascii="Symbol" w:eastAsia="Times New Roman" w:hAnsi="Symbol" w:cs="Symbol" w:hint="default"/>
        <w:b/>
        <w:bCs/>
        <w:color w:val="000000"/>
      </w:rPr>
    </w:lvl>
    <w:lvl w:ilvl="1">
      <w:start w:val="1"/>
      <w:numFmt w:val="lowerLetter"/>
      <w:lvlText w:val="%2."/>
      <w:lvlJc w:val="left"/>
      <w:pPr>
        <w:tabs>
          <w:tab w:val="num" w:pos="0"/>
        </w:tabs>
        <w:ind w:left="1364" w:hanging="360"/>
      </w:pPr>
      <w:rPr>
        <w:rFonts w:ascii="Courier New" w:hAnsi="Courier New" w:cs="Courier New"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7" w15:restartNumberingAfterBreak="0">
    <w:nsid w:val="0000004E"/>
    <w:multiLevelType w:val="multilevel"/>
    <w:tmpl w:val="0000004E"/>
    <w:name w:val="WW8Num78"/>
    <w:lvl w:ilvl="0">
      <w:start w:val="1"/>
      <w:numFmt w:val="decimal"/>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4F"/>
    <w:multiLevelType w:val="multilevel"/>
    <w:tmpl w:val="0000004F"/>
    <w:name w:val="WW8Num79"/>
    <w:lvl w:ilvl="0">
      <w:start w:val="1"/>
      <w:numFmt w:val="decimal"/>
      <w:lvlText w:val="%1."/>
      <w:lvlJc w:val="left"/>
      <w:pPr>
        <w:tabs>
          <w:tab w:val="num" w:pos="0"/>
        </w:tabs>
        <w:ind w:left="720" w:hanging="360"/>
      </w:pPr>
      <w:rPr>
        <w:rFonts w:ascii="Times New Roman" w:eastAsia="Times New Roman" w:hAnsi="Times New Roman" w:cs="Times New Roman"/>
        <w:i/>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name w:val="WW8Num80"/>
    <w:lvl w:ilvl="0">
      <w:start w:val="1"/>
      <w:numFmt w:val="decimal"/>
      <w:lvlText w:val="%1."/>
      <w:lvlJc w:val="left"/>
      <w:pPr>
        <w:tabs>
          <w:tab w:val="num" w:pos="0"/>
        </w:tabs>
        <w:ind w:left="720"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77DA35B2"/>
    <w:multiLevelType w:val="hybridMultilevel"/>
    <w:tmpl w:val="CAA0E3FA"/>
    <w:lvl w:ilvl="0" w:tplc="C4DE098E">
      <w:start w:val="38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C1"/>
    <w:rsid w:val="00001A49"/>
    <w:rsid w:val="0002355F"/>
    <w:rsid w:val="00044585"/>
    <w:rsid w:val="000664D0"/>
    <w:rsid w:val="000A7DA1"/>
    <w:rsid w:val="000D3098"/>
    <w:rsid w:val="001066CD"/>
    <w:rsid w:val="00107534"/>
    <w:rsid w:val="001205D1"/>
    <w:rsid w:val="00171CF3"/>
    <w:rsid w:val="00187741"/>
    <w:rsid w:val="001A224C"/>
    <w:rsid w:val="001A4942"/>
    <w:rsid w:val="001B2EFE"/>
    <w:rsid w:val="001D45FC"/>
    <w:rsid w:val="001E27AD"/>
    <w:rsid w:val="001F3069"/>
    <w:rsid w:val="00217016"/>
    <w:rsid w:val="00225E6F"/>
    <w:rsid w:val="00227C4E"/>
    <w:rsid w:val="00263BCD"/>
    <w:rsid w:val="00274827"/>
    <w:rsid w:val="002948CB"/>
    <w:rsid w:val="00294BD0"/>
    <w:rsid w:val="002B25C1"/>
    <w:rsid w:val="003A63A7"/>
    <w:rsid w:val="003B5D5B"/>
    <w:rsid w:val="004015B8"/>
    <w:rsid w:val="0040672E"/>
    <w:rsid w:val="00417784"/>
    <w:rsid w:val="004313AB"/>
    <w:rsid w:val="004419F4"/>
    <w:rsid w:val="0044344F"/>
    <w:rsid w:val="00444171"/>
    <w:rsid w:val="004713A5"/>
    <w:rsid w:val="004741F9"/>
    <w:rsid w:val="004A3AF3"/>
    <w:rsid w:val="004A429A"/>
    <w:rsid w:val="004E0BB6"/>
    <w:rsid w:val="004F6EC3"/>
    <w:rsid w:val="00515B23"/>
    <w:rsid w:val="00532883"/>
    <w:rsid w:val="00563324"/>
    <w:rsid w:val="00566ADA"/>
    <w:rsid w:val="005A2C25"/>
    <w:rsid w:val="005B7FFE"/>
    <w:rsid w:val="005E334A"/>
    <w:rsid w:val="006073C6"/>
    <w:rsid w:val="0061378B"/>
    <w:rsid w:val="00622491"/>
    <w:rsid w:val="00622B92"/>
    <w:rsid w:val="006324AF"/>
    <w:rsid w:val="0063426E"/>
    <w:rsid w:val="00666BD6"/>
    <w:rsid w:val="00676291"/>
    <w:rsid w:val="006870B4"/>
    <w:rsid w:val="006B19BD"/>
    <w:rsid w:val="006B2D4B"/>
    <w:rsid w:val="006E47FF"/>
    <w:rsid w:val="006F5D98"/>
    <w:rsid w:val="00703BB8"/>
    <w:rsid w:val="0074130F"/>
    <w:rsid w:val="007447EF"/>
    <w:rsid w:val="00754DD7"/>
    <w:rsid w:val="00776EC9"/>
    <w:rsid w:val="00784C7C"/>
    <w:rsid w:val="007F4692"/>
    <w:rsid w:val="00814B49"/>
    <w:rsid w:val="00814FE5"/>
    <w:rsid w:val="00870C03"/>
    <w:rsid w:val="0087265C"/>
    <w:rsid w:val="0088704F"/>
    <w:rsid w:val="008B0474"/>
    <w:rsid w:val="008B6F4A"/>
    <w:rsid w:val="008F163D"/>
    <w:rsid w:val="008F4D6E"/>
    <w:rsid w:val="00901F09"/>
    <w:rsid w:val="00906A86"/>
    <w:rsid w:val="0091606E"/>
    <w:rsid w:val="00945B35"/>
    <w:rsid w:val="00957832"/>
    <w:rsid w:val="00973DAC"/>
    <w:rsid w:val="009971EE"/>
    <w:rsid w:val="00A21558"/>
    <w:rsid w:val="00AC4ED1"/>
    <w:rsid w:val="00AF6280"/>
    <w:rsid w:val="00B24ACA"/>
    <w:rsid w:val="00B42D2E"/>
    <w:rsid w:val="00B50712"/>
    <w:rsid w:val="00B5318C"/>
    <w:rsid w:val="00B546A8"/>
    <w:rsid w:val="00B62D07"/>
    <w:rsid w:val="00BA06A2"/>
    <w:rsid w:val="00BA2BBD"/>
    <w:rsid w:val="00BC1460"/>
    <w:rsid w:val="00BC1DD2"/>
    <w:rsid w:val="00BD04CF"/>
    <w:rsid w:val="00BD166D"/>
    <w:rsid w:val="00BF2FF7"/>
    <w:rsid w:val="00C403FF"/>
    <w:rsid w:val="00C75DC7"/>
    <w:rsid w:val="00CA7D11"/>
    <w:rsid w:val="00CF601F"/>
    <w:rsid w:val="00D12E49"/>
    <w:rsid w:val="00D43161"/>
    <w:rsid w:val="00D82B73"/>
    <w:rsid w:val="00D92532"/>
    <w:rsid w:val="00DB738C"/>
    <w:rsid w:val="00DF1F64"/>
    <w:rsid w:val="00E45B3C"/>
    <w:rsid w:val="00E51EBD"/>
    <w:rsid w:val="00E90210"/>
    <w:rsid w:val="00EA57E7"/>
    <w:rsid w:val="00EB57AF"/>
    <w:rsid w:val="00F1536B"/>
    <w:rsid w:val="00F26F8E"/>
    <w:rsid w:val="00F3729A"/>
    <w:rsid w:val="00F55555"/>
    <w:rsid w:val="00F5754B"/>
    <w:rsid w:val="00F600E6"/>
    <w:rsid w:val="00F83BC7"/>
    <w:rsid w:val="00F9351A"/>
    <w:rsid w:val="00FC3686"/>
    <w:rsid w:val="00FC784D"/>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 id="V:Rule2" type="connector" idref="#AutoShape 20"/>
        <o:r id="V:Rule3" type="connector" idref="#AutoShape 21"/>
        <o:r id="V:Rule4" type="connector" idref="#AutoShape 22"/>
      </o:rules>
    </o:shapelayout>
  </w:shapeDefaults>
  <w:doNotEmbedSmartTags/>
  <w:decimalSymbol w:val=","/>
  <w:listSeparator w:val=";"/>
  <w15:chartTrackingRefBased/>
  <w15:docId w15:val="{C57739D0-886C-46C2-A474-AFADC4CD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after="0" w:line="240" w:lineRule="auto"/>
      <w:jc w:val="both"/>
      <w:outlineLvl w:val="0"/>
    </w:pPr>
    <w:rPr>
      <w:rFonts w:ascii="Times New Roman" w:eastAsia="Times New Roman" w:hAnsi="Times New Roman" w:cs="Times New Roman"/>
      <w:b/>
      <w:bCs/>
      <w:color w:val="000000"/>
      <w:kern w:val="1"/>
      <w:sz w:val="20"/>
      <w:szCs w:val="20"/>
      <w:lang w:val="x-none"/>
    </w:rPr>
  </w:style>
  <w:style w:type="paragraph" w:styleId="Nagwek2">
    <w:name w:val="heading 2"/>
    <w:basedOn w:val="Normalny"/>
    <w:next w:val="Normalny"/>
    <w:qFormat/>
    <w:pPr>
      <w:keepNext/>
      <w:spacing w:before="240" w:after="60" w:line="240" w:lineRule="auto"/>
      <w:outlineLvl w:val="1"/>
    </w:pPr>
    <w:rPr>
      <w:rFonts w:ascii="Cambria" w:eastAsia="Times New Roman" w:hAnsi="Cambria" w:cs="Cambria"/>
      <w:b/>
      <w:bCs/>
      <w:iCs/>
      <w:sz w:val="30"/>
      <w:szCs w:val="28"/>
      <w:lang w:val="x-none"/>
    </w:rPr>
  </w:style>
  <w:style w:type="paragraph" w:styleId="Nagwek3">
    <w:name w:val="heading 3"/>
    <w:basedOn w:val="Normalny"/>
    <w:next w:val="Normalny"/>
    <w:qFormat/>
    <w:pPr>
      <w:keepNext/>
      <w:spacing w:before="240" w:after="60" w:line="240" w:lineRule="auto"/>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Nagwek6">
    <w:name w:val="heading 6"/>
    <w:basedOn w:val="Normalny"/>
    <w:next w:val="Normalny"/>
    <w:qFormat/>
    <w:pPr>
      <w:spacing w:before="240" w:after="60" w:line="240" w:lineRule="auto"/>
      <w:outlineLvl w:val="5"/>
    </w:pPr>
    <w:rPr>
      <w:rFonts w:ascii="Times New Roman" w:eastAsia="Times New Roman" w:hAnsi="Times New Roman" w:cs="Times New Roman"/>
      <w:b/>
      <w:bCs/>
      <w:sz w:val="20"/>
      <w:szCs w:val="20"/>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Wingdings" w:hint="default"/>
    </w:rPr>
  </w:style>
  <w:style w:type="character" w:customStyle="1" w:styleId="WW8Num3z0">
    <w:name w:val="WW8Num3z0"/>
    <w:rPr>
      <w:rFonts w:ascii="Symbol" w:eastAsia="Times New Roman" w:hAnsi="Symbol" w:cs="Symbol" w:hint="default"/>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Symbol" w:hAnsi="Symbol" w:cs="Symbol" w:hint="default"/>
    </w:rPr>
  </w:style>
  <w:style w:type="character" w:customStyle="1" w:styleId="WW8Num6z0">
    <w:name w:val="WW8Num6z0"/>
    <w:rPr>
      <w:color w:val="000000"/>
    </w:rPr>
  </w:style>
  <w:style w:type="character" w:customStyle="1" w:styleId="WW8Num7z0">
    <w:name w:val="WW8Num7z0"/>
    <w:rPr>
      <w:rFonts w:ascii="Times New Roman" w:eastAsia="Times New Roman" w:hAnsi="Times New Roman" w:cs="Times New Roman"/>
      <w:b/>
      <w:color w:val="000000"/>
      <w:sz w:val="24"/>
      <w:szCs w:val="24"/>
    </w:rPr>
  </w:style>
  <w:style w:type="character" w:customStyle="1" w:styleId="WW8Num8z0">
    <w:name w:val="WW8Num8z0"/>
    <w:rPr>
      <w:rFonts w:ascii="Symbol" w:eastAsia="Times New Roman" w:hAnsi="Symbol" w:cs="Symbol" w:hint="default"/>
    </w:rPr>
  </w:style>
  <w:style w:type="character" w:customStyle="1" w:styleId="WW8Num9z0">
    <w:name w:val="WW8Num9z0"/>
    <w:rPr>
      <w:rFonts w:ascii="Times New Roman" w:eastAsia="Times New Roman" w:hAnsi="Times New Roman" w:cs="Times New Roman"/>
      <w:color w:val="000000"/>
    </w:rPr>
  </w:style>
  <w:style w:type="character" w:customStyle="1" w:styleId="WW8Num10z0">
    <w:name w:val="WW8Num10z0"/>
    <w:rPr>
      <w:rFonts w:ascii="Symbol" w:eastAsia="Times New Roman" w:hAnsi="Symbol" w:cs="Symbol" w:hint="default"/>
    </w:rPr>
  </w:style>
  <w:style w:type="character" w:customStyle="1" w:styleId="WW8Num11z0">
    <w:name w:val="WW8Num11z0"/>
    <w:rPr>
      <w:rFonts w:ascii="Times New Roman" w:eastAsia="Times New Roman" w:hAnsi="Times New Roman" w:cs="Times New Roman"/>
      <w:color w:val="000000"/>
    </w:rPr>
  </w:style>
  <w:style w:type="character" w:customStyle="1" w:styleId="WW8Num12z0">
    <w:name w:val="WW8Num12z0"/>
    <w:rPr>
      <w:rFonts w:ascii="Symbol" w:eastAsia="Times New Roman" w:hAnsi="Symbol" w:cs="Symbol" w:hint="default"/>
      <w:color w:val="00000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eastAsia="Times New Roman" w:hAnsi="Symbol" w:cs="Symbol" w:hint="default"/>
      <w:color w:val="000000"/>
    </w:rPr>
  </w:style>
  <w:style w:type="character" w:customStyle="1" w:styleId="WW8Num15z0">
    <w:name w:val="WW8Num15z0"/>
    <w:rPr>
      <w:rFonts w:ascii="Symbol" w:eastAsia="Times New Roman" w:hAnsi="Symbol" w:cs="Symbol" w:hint="default"/>
      <w:color w:val="000000"/>
      <w:sz w:val="23"/>
      <w:szCs w:val="23"/>
    </w:rPr>
  </w:style>
  <w:style w:type="character" w:customStyle="1" w:styleId="WW8Num16z0">
    <w:name w:val="WW8Num16z0"/>
    <w:rPr>
      <w:rFonts w:ascii="Times New Roman" w:eastAsia="Times New Roman" w:hAnsi="Times New Roman" w:cs="Times New Roman" w:hint="default"/>
      <w:color w:val="000000"/>
    </w:rPr>
  </w:style>
  <w:style w:type="character" w:customStyle="1" w:styleId="WW8Num17z0">
    <w:name w:val="WW8Num17z0"/>
    <w:rPr>
      <w:rFonts w:ascii="Times New Roman" w:eastAsia="Times New Roman" w:hAnsi="Times New Roman" w:cs="Times New Roman"/>
      <w:color w:val="000000"/>
    </w:rPr>
  </w:style>
  <w:style w:type="character" w:customStyle="1" w:styleId="WW8Num18z0">
    <w:name w:val="WW8Num18z0"/>
    <w:rPr>
      <w:rFonts w:ascii="Times New Roman" w:eastAsia="Times New Roman" w:hAnsi="Times New Roman" w:cs="Times New Roman"/>
      <w:color w:val="000000"/>
    </w:rPr>
  </w:style>
  <w:style w:type="character" w:customStyle="1" w:styleId="WW8Num19z0">
    <w:name w:val="WW8Num19z0"/>
    <w:rPr>
      <w:rFonts w:ascii="Wingdings" w:eastAsia="Times New Roman" w:hAnsi="Wingdings" w:cs="Wingdings" w:hint="default"/>
    </w:rPr>
  </w:style>
  <w:style w:type="character" w:customStyle="1" w:styleId="WW8Num20z0">
    <w:name w:val="WW8Num20z0"/>
    <w:rPr>
      <w:rFonts w:ascii="Symbol" w:eastAsia="Times New Roman" w:hAnsi="Symbol" w:cs="Symbol" w:hint="default"/>
    </w:rPr>
  </w:style>
  <w:style w:type="character" w:customStyle="1" w:styleId="WW8Num21z0">
    <w:name w:val="WW8Num21z0"/>
    <w:rPr>
      <w:rFonts w:ascii="Symbol" w:eastAsia="Times New Roman" w:hAnsi="Symbol" w:cs="Symbol" w:hint="default"/>
      <w:color w:val="000000"/>
    </w:rPr>
  </w:style>
  <w:style w:type="character" w:customStyle="1" w:styleId="WW8Num22z0">
    <w:name w:val="WW8Num22z0"/>
    <w:rPr>
      <w:rFonts w:ascii="Symbol" w:eastAsia="Times New Roman" w:hAnsi="Symbol" w:cs="Symbol" w:hint="default"/>
      <w:color w:val="000000"/>
      <w:sz w:val="23"/>
      <w:szCs w:val="23"/>
    </w:rPr>
  </w:style>
  <w:style w:type="character" w:customStyle="1" w:styleId="WW8Num23z0">
    <w:name w:val="WW8Num23z0"/>
    <w:rPr>
      <w:rFonts w:ascii="Symbol" w:eastAsia="Times New Roman" w:hAnsi="Symbol" w:cs="Symbol" w:hint="default"/>
      <w:strike/>
      <w:color w:val="000000"/>
      <w:lang w:eastAsia="en-US" w:bidi="en-US"/>
    </w:rPr>
  </w:style>
  <w:style w:type="character" w:customStyle="1" w:styleId="WW8Num24z0">
    <w:name w:val="WW8Num24z0"/>
    <w:rPr>
      <w:rFonts w:ascii="Wingdings" w:eastAsia="Times New Roman" w:hAnsi="Wingdings" w:cs="Wingdings" w:hint="default"/>
    </w:rPr>
  </w:style>
  <w:style w:type="character" w:customStyle="1" w:styleId="WW8Num25z0">
    <w:name w:val="WW8Num25z0"/>
    <w:rPr>
      <w:rFonts w:ascii="Symbol" w:eastAsia="Times New Roman" w:hAnsi="Symbol" w:cs="Symbol" w:hint="default"/>
      <w:color w:val="000000"/>
    </w:rPr>
  </w:style>
  <w:style w:type="character" w:customStyle="1" w:styleId="WW8Num26z0">
    <w:name w:val="WW8Num26z0"/>
    <w:rPr>
      <w:rFonts w:ascii="Times New Roman" w:eastAsia="Times New Roman" w:hAnsi="Times New Roman" w:cs="Times New Roman"/>
      <w:i/>
      <w:color w:val="000000"/>
    </w:rPr>
  </w:style>
  <w:style w:type="character" w:customStyle="1" w:styleId="WW8Num27z0">
    <w:name w:val="WW8Num27z0"/>
    <w:rPr>
      <w:rFonts w:ascii="Symbol" w:eastAsia="Times New Roman" w:hAnsi="Symbol" w:cs="Symbol" w:hint="default"/>
      <w:color w:val="000000"/>
    </w:rPr>
  </w:style>
  <w:style w:type="character" w:customStyle="1" w:styleId="WW8Num28z0">
    <w:name w:val="WW8Num28z0"/>
    <w:rPr>
      <w:rFonts w:ascii="Times New Roman" w:eastAsia="Times New Roman" w:hAnsi="Times New Roman" w:cs="Times New Roman"/>
      <w:b/>
    </w:rPr>
  </w:style>
  <w:style w:type="character" w:customStyle="1" w:styleId="WW8Num29z0">
    <w:name w:val="WW8Num29z0"/>
    <w:rPr>
      <w:rFonts w:ascii="Symbol" w:eastAsia="Times New Roman" w:hAnsi="Symbol" w:cs="Symbol" w:hint="default"/>
    </w:rPr>
  </w:style>
  <w:style w:type="character" w:customStyle="1" w:styleId="WW8Num30z0">
    <w:name w:val="WW8Num30z0"/>
    <w:rPr>
      <w:rFonts w:ascii="Wingdings" w:eastAsia="Times New Roman" w:hAnsi="Wingdings" w:cs="Wingdings" w:hint="default"/>
      <w:color w:val="000000"/>
    </w:rPr>
  </w:style>
  <w:style w:type="character" w:customStyle="1" w:styleId="WW8Num31z0">
    <w:name w:val="WW8Num31z0"/>
    <w:rPr>
      <w:rFonts w:ascii="Symbol" w:eastAsia="Times New Roman" w:hAnsi="Symbol" w:cs="Symbol" w:hint="default"/>
    </w:rPr>
  </w:style>
  <w:style w:type="character" w:customStyle="1" w:styleId="WW8Num32z0">
    <w:name w:val="WW8Num32z0"/>
    <w:rPr>
      <w:rFonts w:ascii="Symbol" w:eastAsia="Times New Roman" w:hAnsi="Symbol" w:cs="Symbol" w:hint="default"/>
      <w:b/>
      <w:color w:val="000000"/>
    </w:rPr>
  </w:style>
  <w:style w:type="character" w:customStyle="1" w:styleId="WW8Num33z0">
    <w:name w:val="WW8Num33z0"/>
    <w:rPr>
      <w:rFonts w:ascii="Times New Roman" w:eastAsia="Times New Roman" w:hAnsi="Times New Roman" w:cs="Times New Roman"/>
      <w:color w:val="000000"/>
    </w:rPr>
  </w:style>
  <w:style w:type="character" w:customStyle="1" w:styleId="WW8Num34z0">
    <w:name w:val="WW8Num34z0"/>
    <w:rPr>
      <w:rFonts w:ascii="Symbol" w:eastAsia="Times New Roman" w:hAnsi="Symbol" w:cs="Symbol" w:hint="default"/>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Symbol" w:eastAsia="Times New Roman" w:hAnsi="Symbol" w:cs="Symbol" w:hint="default"/>
    </w:rPr>
  </w:style>
  <w:style w:type="character" w:customStyle="1" w:styleId="WW8Num37z0">
    <w:name w:val="WW8Num37z0"/>
    <w:rPr>
      <w:rFonts w:ascii="Times New Roman" w:eastAsia="Times New Roman" w:hAnsi="Times New Roman" w:cs="Times New Roman"/>
      <w:b/>
      <w:color w:val="000000"/>
      <w:sz w:val="22"/>
      <w:szCs w:val="22"/>
    </w:rPr>
  </w:style>
  <w:style w:type="character" w:customStyle="1" w:styleId="WW8Num38z0">
    <w:name w:val="WW8Num38z0"/>
    <w:rPr>
      <w:rFonts w:ascii="Times New Roman" w:eastAsia="Times New Roman" w:hAnsi="Times New Roman" w:cs="Times New Roman"/>
      <w:color w:val="000000"/>
    </w:rPr>
  </w:style>
  <w:style w:type="character" w:customStyle="1" w:styleId="WW8Num39z0">
    <w:name w:val="WW8Num39z0"/>
    <w:rPr>
      <w:rFonts w:ascii="Symbol" w:eastAsia="Times New Roman" w:hAnsi="Symbol" w:cs="Symbol" w:hint="default"/>
    </w:rPr>
  </w:style>
  <w:style w:type="character" w:customStyle="1" w:styleId="WW8Num40z0">
    <w:name w:val="WW8Num40z0"/>
    <w:rPr>
      <w:rFonts w:ascii="Times New Roman" w:eastAsia="Times New Roman" w:hAnsi="Times New Roman" w:cs="Times New Roman" w:hint="default"/>
      <w:b/>
      <w:color w:val="000000"/>
      <w:sz w:val="22"/>
      <w:szCs w:val="22"/>
    </w:rPr>
  </w:style>
  <w:style w:type="character" w:customStyle="1" w:styleId="WW8Num41z0">
    <w:name w:val="WW8Num41z0"/>
    <w:rPr>
      <w:rFonts w:ascii="Times New Roman" w:eastAsia="Times New Roman" w:hAnsi="Times New Roman" w:cs="Times New Roman"/>
      <w:color w:val="000000"/>
    </w:rPr>
  </w:style>
  <w:style w:type="character" w:customStyle="1" w:styleId="WW8Num41z1">
    <w:name w:val="WW8Num41z1"/>
  </w:style>
  <w:style w:type="character" w:customStyle="1" w:styleId="WW8Num41z2">
    <w:name w:val="WW8Num41z2"/>
  </w:style>
  <w:style w:type="character" w:customStyle="1" w:styleId="WW8Num41z3">
    <w:name w:val="WW8Num41z3"/>
    <w:rPr>
      <w:color w:val="00000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hint="default"/>
    </w:rPr>
  </w:style>
  <w:style w:type="character" w:customStyle="1" w:styleId="WW8Num43z0">
    <w:name w:val="WW8Num43z0"/>
    <w:rPr>
      <w:rFonts w:ascii="Symbol" w:eastAsia="Times New Roman" w:hAnsi="Symbol" w:cs="Symbol" w:hint="default"/>
      <w:strike/>
    </w:rPr>
  </w:style>
  <w:style w:type="character" w:customStyle="1" w:styleId="WW8Num44z0">
    <w:name w:val="WW8Num44z0"/>
    <w:rPr>
      <w:rFonts w:ascii="Symbol" w:eastAsia="Times New Roman" w:hAnsi="Symbol" w:cs="Symbol" w:hint="default"/>
      <w:color w:val="000000"/>
    </w:rPr>
  </w:style>
  <w:style w:type="character" w:customStyle="1" w:styleId="WW8Num45z0">
    <w:name w:val="WW8Num45z0"/>
    <w:rPr>
      <w:rFonts w:ascii="Times New Roman" w:eastAsia="Times New Roman" w:hAnsi="Times New Roman" w:cs="Times New Roman"/>
      <w:color w:val="000000"/>
    </w:rPr>
  </w:style>
  <w:style w:type="character" w:customStyle="1" w:styleId="WW8Num46z0">
    <w:name w:val="WW8Num46z0"/>
    <w:rPr>
      <w:rFonts w:ascii="Symbol" w:eastAsia="Times New Roman" w:hAnsi="Symbol" w:cs="Symbol" w:hint="default"/>
    </w:rPr>
  </w:style>
  <w:style w:type="character" w:customStyle="1" w:styleId="WW8Num47z0">
    <w:name w:val="WW8Num47z0"/>
    <w:rPr>
      <w:rFonts w:ascii="Times New Roman" w:eastAsia="Times New Roman" w:hAnsi="Times New Roman" w:cs="Times New Roman"/>
      <w:color w:val="000000"/>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Times New Roman" w:eastAsia="Times New Roman" w:hAnsi="Times New Roman" w:cs="Times New Roman" w:hint="default"/>
      <w:b/>
    </w:rPr>
  </w:style>
  <w:style w:type="character" w:customStyle="1" w:styleId="WW8Num50z0">
    <w:name w:val="WW8Num50z0"/>
    <w:rPr>
      <w:rFonts w:ascii="Symbol" w:eastAsia="Times New Roman" w:hAnsi="Symbol" w:cs="Symbol" w:hint="default"/>
      <w:color w:val="000000"/>
    </w:rPr>
  </w:style>
  <w:style w:type="character" w:customStyle="1" w:styleId="WW8Num51z0">
    <w:name w:val="WW8Num51z0"/>
    <w:rPr>
      <w:rFonts w:ascii="Symbol" w:eastAsia="Times New Roman" w:hAnsi="Symbol" w:cs="Symbol" w:hint="default"/>
      <w:color w:val="00000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sz w:val="24"/>
      <w:szCs w:val="24"/>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Times New Roman" w:hAnsi="Symbol" w:cs="Symbol" w:hint="default"/>
      <w:color w:val="000000"/>
      <w:sz w:val="22"/>
      <w:szCs w:val="22"/>
    </w:rPr>
  </w:style>
  <w:style w:type="character" w:customStyle="1" w:styleId="WW8Num52z1">
    <w:name w:val="WW8Num52z1"/>
    <w:rPr>
      <w:rFonts w:ascii="Courier New" w:eastAsia="Times New Roman" w:hAnsi="Courier New" w:cs="Courier New" w:hint="default"/>
      <w:color w:val="000000"/>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i/>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color w:val="000000"/>
    </w:rPr>
  </w:style>
  <w:style w:type="character" w:customStyle="1" w:styleId="WW8Num54z1">
    <w:name w:val="WW8Num54z1"/>
    <w:rPr>
      <w:rFonts w:ascii="Times New Roman" w:hAnsi="Times New Roman" w:cs="Times New Roman"/>
      <w:color w:val="000000"/>
    </w:rPr>
  </w:style>
  <w:style w:type="character" w:customStyle="1" w:styleId="WW8Num54z2">
    <w:name w:val="WW8Num54z2"/>
  </w:style>
  <w:style w:type="character" w:customStyle="1" w:styleId="WW8Num54z3">
    <w:name w:val="WW8Num54z3"/>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color w:val="000000"/>
    </w:rPr>
  </w:style>
  <w:style w:type="character" w:customStyle="1" w:styleId="WW8Num55z1">
    <w:name w:val="WW8Num55z1"/>
    <w:rPr>
      <w:rFonts w:ascii="Times New Roman" w:hAnsi="Times New Roman" w:cs="Times New Roman"/>
    </w:rPr>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eastAsia="Times New Roman" w:hAnsi="Symbol" w:cs="Symbol" w:hint="default"/>
    </w:rPr>
  </w:style>
  <w:style w:type="character" w:customStyle="1" w:styleId="WW8Num57z0">
    <w:name w:val="WW8Num57z0"/>
    <w:rPr>
      <w:rFonts w:ascii="Symbol" w:eastAsia="Times New Roman" w:hAnsi="Symbol" w:cs="Symbol" w:hint="default"/>
      <w:b/>
      <w:bCs/>
      <w:color w:val="000000"/>
      <w:sz w:val="22"/>
      <w:szCs w:val="22"/>
    </w:rPr>
  </w:style>
  <w:style w:type="character" w:customStyle="1" w:styleId="WW8Num58z0">
    <w:name w:val="WW8Num58z0"/>
    <w:rPr>
      <w:rFonts w:ascii="Symbol" w:eastAsia="Times New Roman" w:hAnsi="Symbol" w:cs="Symbol" w:hint="default"/>
      <w:b/>
      <w:color w:val="00000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bCs/>
      <w:color w:val="00000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eastAsia="Times New Roman" w:hAnsi="Symbol" w:cs="Symbol" w:hint="default"/>
      <w:b/>
      <w:color w:val="000000"/>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 New Roman" w:hAnsi="Times New Roman" w:cs="Times New Roman"/>
      <w:b/>
      <w:bCs/>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b/>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eastAsia="Times New Roman" w:hAnsi="Symbol" w:cs="Symbol" w:hint="default"/>
      <w:b/>
      <w:color w:val="000000"/>
      <w:sz w:val="22"/>
      <w:szCs w:val="22"/>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eastAsia="Times New Roman" w:hAnsi="Symbol" w:cs="Symbol" w:hint="default"/>
      <w:b/>
      <w:color w:val="00000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b/>
      <w:color w:val="00000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Times New Roman" w:hAnsi="Times New Roman" w:cs="Times New Roman"/>
      <w:color w:val="00000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b/>
      <w:color w:val="00000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hint="default"/>
      <w:color w:val="00000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eastAsia="Times New Roman"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Symbol" w:eastAsia="Times New Roman" w:hAnsi="Symbol" w:cs="Symbol" w:hint="default"/>
      <w:color w:val="000000"/>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eastAsia="Times New Roman" w:hAnsi="Symbol" w:cs="Symbol" w:hint="default"/>
      <w:b/>
      <w:color w:val="000000"/>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eastAsia="Times New Roman" w:hAnsi="Symbol" w:cs="Symbol" w:hint="default"/>
      <w:color w:val="auto"/>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eastAsia="Times New Roman" w:hAnsi="Wingdings" w:cs="Wingdings" w:hint="default"/>
      <w:bCs/>
      <w:color w:val="000000"/>
    </w:rPr>
  </w:style>
  <w:style w:type="character" w:customStyle="1" w:styleId="WW8Num75z1">
    <w:name w:val="WW8Num75z1"/>
    <w:rPr>
      <w:rFonts w:ascii="Courier New" w:hAnsi="Courier New" w:cs="Courier New" w:hint="default"/>
    </w:rPr>
  </w:style>
  <w:style w:type="character" w:customStyle="1" w:styleId="WW8Num75z2">
    <w:name w:val="WW8Num75z2"/>
  </w:style>
  <w:style w:type="character" w:customStyle="1" w:styleId="WW8Num75z3">
    <w:name w:val="WW8Num75z3"/>
    <w:rPr>
      <w:rFonts w:ascii="Symbol" w:hAnsi="Symbol" w:cs="Symbol" w:hint="default"/>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color w:val="00000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Times New Roman" w:hAnsi="Symbol" w:cs="Symbol" w:hint="default"/>
      <w:b/>
      <w:bCs/>
      <w:color w:val="000000"/>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eastAsia="Times New Roman" w:hAnsi="Symbol" w:cs="Symbol" w:hint="default"/>
      <w:color w:val="000000"/>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eastAsia="Times New Roman" w:hAnsi="Times New Roman" w:cs="Times New Roman"/>
      <w:i/>
      <w:color w:val="000000"/>
      <w:sz w:val="24"/>
      <w:szCs w:val="24"/>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eastAsia="Times New Roman" w:hAnsi="Times New Roman" w:cs="Times New Roman"/>
      <w:b/>
      <w:bCs/>
      <w:color w:val="000000"/>
      <w:sz w:val="24"/>
      <w:szCs w:val="24"/>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Domylnaczcionkaakapitu2">
    <w:name w:val="Domyślna czcionka akapitu2"/>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color w:val="00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color w:val="00000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Times New Roman" w:hAnsi="Times New Roman" w:cs="Times New Roman"/>
      <w:color w:val="000000"/>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color w:val="00000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Times New Roman" w:hAnsi="Times New Roman" w:cs="Times New Roman"/>
      <w:color w:val="00000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color w:val="00000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color w:val="00000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color w:val="00000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color w:val="00000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b/>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 New Roman" w:hAnsi="Times New Roman" w:cs="Times New Roman"/>
      <w:b/>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eastAsia="Times New Roman" w:hAnsi="Times New Roman" w:cs="Times New Roman"/>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eastAsia="Times New Roman" w:hAnsi="Times New Roman" w:cs="Times New Roman"/>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 New Roman" w:hAnsi="Times New Roman" w:cs="Times New Roman"/>
      <w:b/>
      <w:color w:val="00000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Times New Roman" w:hAnsi="Times New Roman" w:cs="Times New Roman"/>
      <w:i/>
      <w:color w:val="00000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color w:val="00000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eastAsia="Times New Roman" w:hAnsi="Symbol" w:cs="Symbol" w:hint="default"/>
      <w:color w:val="000000"/>
    </w:rPr>
  </w:style>
  <w:style w:type="character" w:customStyle="1" w:styleId="WW8Num7z2">
    <w:name w:val="WW8Num7z2"/>
  </w:style>
  <w:style w:type="character" w:customStyle="1" w:styleId="WW8Num7z3">
    <w:name w:val="WW8Num7z3"/>
    <w:rPr>
      <w:rFonts w:ascii="Times New Roman" w:eastAsia="Times New Roman" w:hAnsi="Times New Roman" w:cs="Times New Roman"/>
      <w:b/>
      <w:sz w:val="24"/>
      <w:szCs w:val="24"/>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Symbol" w:hAnsi="Symbol" w:cs="Symbol" w:hint="default"/>
      <w:color w:val="000000"/>
    </w:rPr>
  </w:style>
  <w:style w:type="character" w:customStyle="1" w:styleId="WW8Num18z2">
    <w:name w:val="WW8Num18z2"/>
  </w:style>
  <w:style w:type="character" w:customStyle="1" w:styleId="WW8Num18z3">
    <w:name w:val="WW8Num18z3"/>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Times New Roman"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4z4">
    <w:name w:val="WW8Num54z4"/>
  </w:style>
  <w:style w:type="character" w:customStyle="1" w:styleId="WW8Num55z4">
    <w:name w:val="WW8Num55z4"/>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color w:val="000000"/>
      <w:kern w:val="1"/>
      <w:lang w:val="x-none"/>
    </w:rPr>
  </w:style>
  <w:style w:type="character" w:customStyle="1" w:styleId="Nagwek2Znak">
    <w:name w:val="Nagłówek 2 Znak"/>
    <w:rPr>
      <w:rFonts w:ascii="Cambria" w:eastAsia="Times New Roman" w:hAnsi="Cambria" w:cs="Times New Roman"/>
      <w:b/>
      <w:bCs/>
      <w:iCs/>
      <w:sz w:val="30"/>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6Znak">
    <w:name w:val="Nagłówek 6 Znak"/>
    <w:rPr>
      <w:rFonts w:ascii="Times New Roman" w:eastAsia="Times New Roman" w:hAnsi="Times New Roman" w:cs="Times New Roman"/>
      <w:b/>
      <w:bCs/>
    </w:rPr>
  </w:style>
  <w:style w:type="character" w:styleId="Hipercze">
    <w:name w:val="Hyperlink"/>
    <w:rPr>
      <w:color w:val="0000FF"/>
      <w:u w:val="single"/>
    </w:rPr>
  </w:style>
  <w:style w:type="character" w:styleId="UyteHipercze">
    <w:name w:val="FollowedHyperlink"/>
    <w:rPr>
      <w:color w:val="954F72"/>
      <w:u w:val="single"/>
    </w:rPr>
  </w:style>
  <w:style w:type="character" w:customStyle="1" w:styleId="TekstprzypisudolnegoZnak">
    <w:name w:val="Tekst przypisu dolnego Znak"/>
    <w:rPr>
      <w:rFonts w:ascii="Calibri" w:eastAsia="Calibri" w:hAnsi="Calibri" w:cs="Times New Roman"/>
      <w:sz w:val="20"/>
      <w:szCs w:val="20"/>
    </w:rPr>
  </w:style>
  <w:style w:type="character" w:customStyle="1" w:styleId="TekstkomentarzaZnak">
    <w:name w:val="Tekst komentarza Znak"/>
    <w:rPr>
      <w:rFonts w:ascii="Cambria" w:eastAsia="Times New Roman" w:hAnsi="Cambria" w:cs="Times New Roman"/>
      <w:sz w:val="20"/>
      <w:szCs w:val="20"/>
    </w:rPr>
  </w:style>
  <w:style w:type="character" w:customStyle="1" w:styleId="NagwekZnak">
    <w:name w:val="Nagłówek Znak"/>
    <w:rPr>
      <w:rFonts w:ascii="Cambria" w:eastAsia="Times New Roman" w:hAnsi="Cambria" w:cs="Times New Roman"/>
      <w:sz w:val="24"/>
      <w:szCs w:val="24"/>
    </w:rPr>
  </w:style>
  <w:style w:type="character" w:customStyle="1" w:styleId="StopkaZnak">
    <w:name w:val="Stopka Znak"/>
    <w:rPr>
      <w:rFonts w:ascii="Cambria" w:eastAsia="Times New Roman" w:hAnsi="Cambria" w:cs="Times New Roman"/>
      <w:sz w:val="24"/>
      <w:szCs w:val="24"/>
    </w:rPr>
  </w:style>
  <w:style w:type="character" w:customStyle="1" w:styleId="TekstprzypisukocowegoZnak">
    <w:name w:val="Tekst przypisu końcowego Znak"/>
    <w:rPr>
      <w:rFonts w:ascii="Cambria" w:eastAsia="Times New Roman" w:hAnsi="Cambria" w:cs="Times New Roman"/>
      <w:sz w:val="20"/>
      <w:szCs w:val="20"/>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i/>
      <w:sz w:val="24"/>
      <w:szCs w:val="20"/>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matkomentarzaZnak">
    <w:name w:val="Temat komentarza Znak"/>
    <w:rPr>
      <w:rFonts w:ascii="Cambria" w:eastAsia="Times New Roman" w:hAnsi="Cambria" w:cs="Times New Roman"/>
      <w:b/>
      <w:bCs/>
      <w:sz w:val="20"/>
      <w:szCs w:val="20"/>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line="240" w:lineRule="auto"/>
    </w:pPr>
    <w:rPr>
      <w:rFonts w:ascii="Times New Roman" w:eastAsia="Times New Roman" w:hAnsi="Times New Roman" w:cs="Times New Roman"/>
      <w:sz w:val="24"/>
      <w:szCs w:val="24"/>
      <w:lang w:val="x-none"/>
    </w:rPr>
  </w:style>
  <w:style w:type="paragraph" w:styleId="Lista">
    <w:name w:val="List"/>
    <w:basedOn w:val="Tekstpodstawowy"/>
    <w:pPr>
      <w:suppressAutoHyphens/>
    </w:pPr>
    <w:rPr>
      <w:rFonts w:cs="Tahoma"/>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styleId="Spistreci1">
    <w:name w:val="toc 1"/>
    <w:basedOn w:val="Normalny"/>
    <w:next w:val="Normalny"/>
    <w:pPr>
      <w:spacing w:after="0" w:line="240" w:lineRule="auto"/>
    </w:pPr>
    <w:rPr>
      <w:rFonts w:ascii="Times New Roman" w:eastAsia="Times New Roman" w:hAnsi="Times New Roman" w:cs="Times New Roman"/>
      <w:b/>
      <w:color w:val="000000"/>
      <w:lang w:val="pl-PL"/>
    </w:rPr>
  </w:style>
  <w:style w:type="paragraph" w:styleId="Spistreci2">
    <w:name w:val="toc 2"/>
    <w:basedOn w:val="Normalny"/>
    <w:next w:val="Normalny"/>
    <w:pPr>
      <w:spacing w:after="0" w:line="240" w:lineRule="auto"/>
      <w:ind w:left="240"/>
    </w:pPr>
    <w:rPr>
      <w:rFonts w:ascii="Cambria" w:eastAsia="Times New Roman" w:hAnsi="Cambria" w:cs="Times New Roman"/>
      <w:sz w:val="24"/>
      <w:szCs w:val="24"/>
    </w:rPr>
  </w:style>
  <w:style w:type="paragraph" w:styleId="Spistreci3">
    <w:name w:val="toc 3"/>
    <w:basedOn w:val="Normalny"/>
    <w:next w:val="Normalny"/>
    <w:pPr>
      <w:spacing w:after="0" w:line="240" w:lineRule="auto"/>
      <w:ind w:left="480"/>
    </w:pPr>
    <w:rPr>
      <w:rFonts w:ascii="Cambria" w:eastAsia="Times New Roman" w:hAnsi="Cambria" w:cs="Times New Roman"/>
      <w:sz w:val="24"/>
      <w:szCs w:val="24"/>
    </w:rPr>
  </w:style>
  <w:style w:type="paragraph" w:styleId="Tekstprzypisudolnego">
    <w:name w:val="footnote text"/>
    <w:basedOn w:val="Normalny"/>
    <w:pPr>
      <w:spacing w:after="0" w:line="240" w:lineRule="auto"/>
    </w:pPr>
    <w:rPr>
      <w:sz w:val="20"/>
      <w:szCs w:val="20"/>
      <w:lang w:val="x-none"/>
    </w:rPr>
  </w:style>
  <w:style w:type="paragraph" w:customStyle="1" w:styleId="Tekstkomentarza1">
    <w:name w:val="Tekst komentarza1"/>
    <w:basedOn w:val="Normalny"/>
    <w:pPr>
      <w:spacing w:after="0" w:line="240" w:lineRule="auto"/>
    </w:pPr>
    <w:rPr>
      <w:rFonts w:ascii="Cambria" w:eastAsia="Times New Roman" w:hAnsi="Cambria" w:cs="Cambria"/>
      <w:sz w:val="20"/>
      <w:szCs w:val="20"/>
      <w:lang w:val="x-none"/>
    </w:rPr>
  </w:style>
  <w:style w:type="paragraph" w:styleId="Nagwek">
    <w:name w:val="header"/>
    <w:basedOn w:val="Normalny"/>
    <w:pPr>
      <w:spacing w:after="0" w:line="240" w:lineRule="auto"/>
    </w:pPr>
    <w:rPr>
      <w:rFonts w:ascii="Cambria" w:eastAsia="Times New Roman" w:hAnsi="Cambria" w:cs="Cambria"/>
      <w:sz w:val="24"/>
      <w:szCs w:val="24"/>
      <w:lang w:val="x-none"/>
    </w:rPr>
  </w:style>
  <w:style w:type="paragraph" w:styleId="Stopka">
    <w:name w:val="footer"/>
    <w:basedOn w:val="Normalny"/>
    <w:pPr>
      <w:spacing w:after="0" w:line="240" w:lineRule="auto"/>
    </w:pPr>
    <w:rPr>
      <w:rFonts w:ascii="Cambria" w:eastAsia="Times New Roman" w:hAnsi="Cambria" w:cs="Cambria"/>
      <w:sz w:val="24"/>
      <w:szCs w:val="24"/>
      <w:lang w:val="x-none"/>
    </w:rPr>
  </w:style>
  <w:style w:type="paragraph" w:customStyle="1" w:styleId="Legenda1">
    <w:name w:val="Legenda1"/>
    <w:basedOn w:val="Normalny"/>
    <w:next w:val="Normalny"/>
    <w:pPr>
      <w:spacing w:after="0" w:line="240" w:lineRule="auto"/>
    </w:pPr>
    <w:rPr>
      <w:rFonts w:ascii="Cambria" w:eastAsia="Times New Roman" w:hAnsi="Cambria" w:cs="Times New Roman"/>
      <w:b/>
      <w:bCs/>
      <w:sz w:val="20"/>
      <w:szCs w:val="20"/>
    </w:rPr>
  </w:style>
  <w:style w:type="paragraph" w:customStyle="1" w:styleId="Spisilustracji1">
    <w:name w:val="Spis ilustracji1"/>
    <w:basedOn w:val="Normalny"/>
    <w:next w:val="Normalny"/>
    <w:pPr>
      <w:spacing w:after="0" w:line="240" w:lineRule="auto"/>
    </w:pPr>
    <w:rPr>
      <w:rFonts w:ascii="Cambria" w:eastAsia="Times New Roman" w:hAnsi="Cambria" w:cs="Times New Roman"/>
      <w:sz w:val="24"/>
      <w:szCs w:val="24"/>
    </w:rPr>
  </w:style>
  <w:style w:type="paragraph" w:styleId="Tekstprzypisukocowego">
    <w:name w:val="endnote text"/>
    <w:basedOn w:val="Normalny"/>
    <w:pPr>
      <w:spacing w:after="0" w:line="240" w:lineRule="auto"/>
    </w:pPr>
    <w:rPr>
      <w:rFonts w:ascii="Cambria" w:eastAsia="Times New Roman" w:hAnsi="Cambria" w:cs="Cambria"/>
      <w:sz w:val="20"/>
      <w:szCs w:val="20"/>
      <w:lang w:val="x-none"/>
    </w:rPr>
  </w:style>
  <w:style w:type="paragraph" w:customStyle="1" w:styleId="Listapunktowana1">
    <w:name w:val="Lista punktowana1"/>
    <w:basedOn w:val="Normalny"/>
    <w:pPr>
      <w:numPr>
        <w:numId w:val="2"/>
      </w:numPr>
      <w:spacing w:after="0" w:line="240" w:lineRule="auto"/>
    </w:pPr>
    <w:rPr>
      <w:rFonts w:ascii="Times New Roman" w:eastAsia="Times New Roman" w:hAnsi="Times New Roman" w:cs="Times New Roman"/>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i/>
      <w:sz w:val="24"/>
      <w:szCs w:val="20"/>
      <w:lang w:val="x-none"/>
    </w:rPr>
  </w:style>
  <w:style w:type="paragraph" w:styleId="Podtytu">
    <w:name w:val="Subtitle"/>
    <w:basedOn w:val="Normalny"/>
    <w:next w:val="Tekstpodstawowy"/>
    <w:qFormat/>
    <w:pPr>
      <w:spacing w:after="0" w:line="240" w:lineRule="auto"/>
    </w:pPr>
    <w:rPr>
      <w:rFonts w:ascii="Times New Roman" w:eastAsia="Times New Roman" w:hAnsi="Times New Roman" w:cs="Times New Roman"/>
      <w:b/>
      <w:sz w:val="24"/>
      <w:szCs w:val="20"/>
      <w:lang w:val="x-none"/>
    </w:rPr>
  </w:style>
  <w:style w:type="paragraph" w:styleId="Tekstpodstawowywcity">
    <w:name w:val="Body Text Indent"/>
    <w:basedOn w:val="Normalny"/>
    <w:pPr>
      <w:spacing w:after="120" w:line="240" w:lineRule="auto"/>
      <w:ind w:left="283"/>
    </w:pPr>
    <w:rPr>
      <w:rFonts w:ascii="Times New Roman" w:eastAsia="Times New Roman" w:hAnsi="Times New Roman" w:cs="Times New Roman"/>
      <w:sz w:val="24"/>
      <w:szCs w:val="24"/>
      <w:lang w:val="x-none"/>
    </w:rPr>
  </w:style>
  <w:style w:type="paragraph" w:customStyle="1" w:styleId="Tekstpodstawowy22">
    <w:name w:val="Tekst podstawowy 22"/>
    <w:basedOn w:val="Normalny"/>
    <w:pPr>
      <w:spacing w:after="120" w:line="480" w:lineRule="auto"/>
    </w:pPr>
    <w:rPr>
      <w:rFonts w:ascii="Times New Roman" w:eastAsia="Times New Roman" w:hAnsi="Times New Roman" w:cs="Times New Roman"/>
      <w:sz w:val="24"/>
      <w:szCs w:val="24"/>
      <w:lang w:val="x-none"/>
    </w:rPr>
  </w:style>
  <w:style w:type="paragraph" w:customStyle="1" w:styleId="Tekstpodstawowy31">
    <w:name w:val="Tekst podstawowy 31"/>
    <w:basedOn w:val="Normalny"/>
    <w:pPr>
      <w:spacing w:after="120" w:line="240" w:lineRule="auto"/>
    </w:pPr>
    <w:rPr>
      <w:rFonts w:ascii="Times New Roman" w:eastAsia="Times New Roman" w:hAnsi="Times New Roman" w:cs="Times New Roman"/>
      <w:sz w:val="16"/>
      <w:szCs w:val="16"/>
      <w:lang w:val="x-none"/>
    </w:rPr>
  </w:style>
  <w:style w:type="paragraph" w:styleId="Tekstdymka">
    <w:name w:val="Balloon Text"/>
    <w:basedOn w:val="Normalny"/>
    <w:pPr>
      <w:spacing w:after="0" w:line="240" w:lineRule="auto"/>
    </w:pPr>
    <w:rPr>
      <w:rFonts w:ascii="Tahoma" w:eastAsia="Times New Roman" w:hAnsi="Tahoma" w:cs="Tahoma"/>
      <w:sz w:val="16"/>
      <w:szCs w:val="16"/>
      <w:lang w:val="x-none"/>
    </w:rPr>
  </w:style>
  <w:style w:type="paragraph" w:styleId="Bezodstpw">
    <w:name w:val="No Spacing"/>
    <w:qFormat/>
    <w:pPr>
      <w:suppressAutoHyphens/>
    </w:pPr>
    <w:rPr>
      <w:rFonts w:ascii="Calibri" w:eastAsia="Calibri" w:hAnsi="Calibri" w:cs="Calibri"/>
      <w:sz w:val="22"/>
      <w:szCs w:val="22"/>
      <w:lang w:eastAsia="ar-SA"/>
    </w:rPr>
  </w:style>
  <w:style w:type="paragraph" w:styleId="Akapitzlist">
    <w:name w:val="List Paragraph"/>
    <w:basedOn w:val="Normalny"/>
    <w:qFormat/>
    <w:pPr>
      <w:spacing w:after="0" w:line="240" w:lineRule="auto"/>
      <w:ind w:left="708"/>
    </w:pPr>
    <w:rPr>
      <w:rFonts w:ascii="Cambria" w:eastAsia="Times New Roman" w:hAnsi="Cambria" w:cs="Times New Roman"/>
      <w:sz w:val="24"/>
      <w:szCs w:val="24"/>
    </w:rPr>
  </w:style>
  <w:style w:type="paragraph" w:styleId="Nagwekspisutreci">
    <w:name w:val="TOC Heading"/>
    <w:basedOn w:val="Nagwek1"/>
    <w:next w:val="Normalny"/>
    <w:qFormat/>
    <w:pPr>
      <w:keepLines/>
      <w:numPr>
        <w:numId w:val="0"/>
      </w:numPr>
      <w:spacing w:before="480" w:line="276" w:lineRule="auto"/>
    </w:pPr>
    <w:rPr>
      <w:color w:val="365F91"/>
      <w:sz w:val="28"/>
      <w:szCs w:val="28"/>
    </w:rPr>
  </w:style>
  <w:style w:type="paragraph" w:customStyle="1" w:styleId="Tekstpodstawowy21">
    <w:name w:val="Tekst podstawowy 21"/>
    <w:basedOn w:val="Normalny"/>
    <w:pPr>
      <w:suppressAutoHyphens/>
      <w:spacing w:after="120" w:line="480" w:lineRule="auto"/>
    </w:pPr>
    <w:rPr>
      <w:rFonts w:ascii="Times New Roman" w:eastAsia="Times New Roman" w:hAnsi="Times New Roman" w:cs="Times New Roman"/>
      <w:sz w:val="20"/>
      <w:szCs w:val="20"/>
    </w:rPr>
  </w:style>
  <w:style w:type="paragraph" w:customStyle="1" w:styleId="Znak1">
    <w:name w:val="Znak1"/>
    <w:basedOn w:val="Normalny"/>
    <w:pPr>
      <w:spacing w:after="0" w:line="240" w:lineRule="auto"/>
    </w:pPr>
    <w:rPr>
      <w:rFonts w:ascii="Times New Roman" w:eastAsia="Times New Roman" w:hAnsi="Times New Roman" w:cs="Times New Roman"/>
      <w:sz w:val="24"/>
      <w:szCs w:val="24"/>
    </w:rPr>
  </w:style>
  <w:style w:type="paragraph" w:customStyle="1" w:styleId="Tekstwstpniesformatowany">
    <w:name w:val="Tekst wstępnie sformatowany"/>
    <w:basedOn w:val="Normalny"/>
    <w:pPr>
      <w:widowControl w:val="0"/>
      <w:suppressAutoHyphens/>
      <w:spacing w:after="0" w:line="240" w:lineRule="auto"/>
    </w:pPr>
    <w:rPr>
      <w:rFonts w:ascii="Courier New" w:eastAsia="Courier New" w:hAnsi="Courier New" w:cs="Courier New"/>
      <w:sz w:val="20"/>
      <w:szCs w:val="20"/>
    </w:rPr>
  </w:style>
  <w:style w:type="paragraph" w:customStyle="1" w:styleId="Znak">
    <w:name w:val="Znak"/>
    <w:basedOn w:val="Normalny"/>
    <w:pPr>
      <w:spacing w:after="0" w:line="240" w:lineRule="auto"/>
    </w:pPr>
    <w:rPr>
      <w:rFonts w:ascii="Times New Roman" w:eastAsia="Times New Roman" w:hAnsi="Times New Roman" w:cs="Times New Roman"/>
      <w:sz w:val="24"/>
      <w:szCs w:val="24"/>
    </w:rPr>
  </w:style>
  <w:style w:type="paragraph" w:customStyle="1" w:styleId="StylNagwek2Zlewej1cmPierwszywiersz0cm">
    <w:name w:val="Styl Nagłówek 2 + Z lewej:  1 cm Pierwszy wiersz:  0 cm"/>
    <w:basedOn w:val="Nagwek2"/>
    <w:pPr>
      <w:jc w:val="both"/>
    </w:pPr>
    <w:rPr>
      <w:rFonts w:ascii="Century Gothic" w:hAnsi="Century Gothic" w:cs="Century Gothic"/>
      <w:sz w:val="22"/>
      <w:szCs w:val="20"/>
    </w:rPr>
  </w:style>
  <w:style w:type="paragraph" w:customStyle="1" w:styleId="BodyText21">
    <w:name w:val="Body Text 21"/>
    <w:basedOn w:val="Normalny"/>
    <w:pPr>
      <w:widowControl w:val="0"/>
      <w:suppressAutoHyphens/>
      <w:spacing w:after="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Tematkomentarza">
    <w:name w:val="annotation subject"/>
    <w:basedOn w:val="Tekstkomentarza1"/>
    <w:next w:val="Tekstkomentarza1"/>
    <w:pPr>
      <w:spacing w:after="160" w:line="252" w:lineRule="auto"/>
    </w:pPr>
    <w:rPr>
      <w:rFonts w:ascii="Calibri" w:eastAsia="Calibri" w:hAnsi="Calibri" w:cs="Calibri"/>
      <w:b/>
      <w:bCs/>
      <w:lang w:val="pl-P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ory.org.pl/" TargetMode="External"/><Relationship Id="rId18" Type="http://schemas.openxmlformats.org/officeDocument/2006/relationships/image" Target="media/image7.pn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Facebook.com/BoryDolno&#347;l&#261;sk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borydolnoslaskie.org" TargetMode="External"/><Relationship Id="rId24" Type="http://schemas.openxmlformats.org/officeDocument/2006/relationships/hyperlink" Target="http://www.Bory.org.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Bory.org/" TargetMode="External"/><Relationship Id="rId19" Type="http://schemas.openxmlformats.org/officeDocument/2006/relationships/image" Target="media/image8.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31051</Words>
  <Characters>186309</Characters>
  <Application>Microsoft Office Word</Application>
  <DocSecurity>4</DocSecurity>
  <Lines>1552</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216927</CharactersWithSpaces>
  <SharedDoc>false</SharedDoc>
  <HLinks>
    <vt:vector size="30" baseType="variant">
      <vt:variant>
        <vt:i4>655455</vt:i4>
      </vt:variant>
      <vt:variant>
        <vt:i4>12</vt:i4>
      </vt:variant>
      <vt:variant>
        <vt:i4>0</vt:i4>
      </vt:variant>
      <vt:variant>
        <vt:i4>5</vt:i4>
      </vt:variant>
      <vt:variant>
        <vt:lpwstr>http://www.facebook.com/BoryDolnośląskie</vt:lpwstr>
      </vt:variant>
      <vt:variant>
        <vt:lpwstr/>
      </vt:variant>
      <vt:variant>
        <vt:i4>2424894</vt:i4>
      </vt:variant>
      <vt:variant>
        <vt:i4>9</vt:i4>
      </vt:variant>
      <vt:variant>
        <vt:i4>0</vt:i4>
      </vt:variant>
      <vt:variant>
        <vt:i4>5</vt:i4>
      </vt:variant>
      <vt:variant>
        <vt:lpwstr>http://www.bory.org.pl/</vt:lpwstr>
      </vt:variant>
      <vt:variant>
        <vt:lpwstr/>
      </vt:variant>
      <vt:variant>
        <vt:i4>2424894</vt:i4>
      </vt:variant>
      <vt:variant>
        <vt:i4>6</vt:i4>
      </vt:variant>
      <vt:variant>
        <vt:i4>0</vt:i4>
      </vt:variant>
      <vt:variant>
        <vt:i4>5</vt:i4>
      </vt:variant>
      <vt:variant>
        <vt:lpwstr>http://www.bory.org.pl/</vt:lpwstr>
      </vt:variant>
      <vt:variant>
        <vt:lpwstr/>
      </vt:variant>
      <vt:variant>
        <vt:i4>4653173</vt:i4>
      </vt:variant>
      <vt:variant>
        <vt:i4>3</vt:i4>
      </vt:variant>
      <vt:variant>
        <vt:i4>0</vt:i4>
      </vt:variant>
      <vt:variant>
        <vt:i4>5</vt:i4>
      </vt:variant>
      <vt:variant>
        <vt:lpwstr>mailto:biuro@borydolnoslaskie.org</vt:lpwstr>
      </vt:variant>
      <vt:variant>
        <vt:lpwstr/>
      </vt:variant>
      <vt:variant>
        <vt:i4>4718670</vt:i4>
      </vt:variant>
      <vt:variant>
        <vt:i4>0</vt:i4>
      </vt:variant>
      <vt:variant>
        <vt:i4>0</vt:i4>
      </vt:variant>
      <vt:variant>
        <vt:i4>5</vt:i4>
      </vt:variant>
      <vt:variant>
        <vt:lpwstr>http://www.bory.org/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Leszczyński</dc:creator>
  <cp:keywords/>
  <cp:lastModifiedBy>Eryk Lewandowski</cp:lastModifiedBy>
  <cp:revision>2</cp:revision>
  <cp:lastPrinted>2022-01-17T08:11:00Z</cp:lastPrinted>
  <dcterms:created xsi:type="dcterms:W3CDTF">2022-01-21T08:16:00Z</dcterms:created>
  <dcterms:modified xsi:type="dcterms:W3CDTF">2022-01-21T08:16:00Z</dcterms:modified>
</cp:coreProperties>
</file>