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49" w:rsidRPr="00213735" w:rsidRDefault="00624049" w:rsidP="00213735">
      <w:pPr>
        <w:spacing w:after="0"/>
        <w:jc w:val="right"/>
        <w:rPr>
          <w:rFonts w:ascii="Times New Roman" w:hAnsi="Times New Roman"/>
          <w:b/>
          <w:sz w:val="24"/>
          <w:szCs w:val="24"/>
        </w:rPr>
      </w:pPr>
      <w:r w:rsidRPr="00F9442F">
        <w:rPr>
          <w:rFonts w:ascii="Times New Roman" w:hAnsi="Times New Roman"/>
          <w:b/>
          <w:sz w:val="24"/>
          <w:szCs w:val="24"/>
        </w:rPr>
        <w:t xml:space="preserve">Załącznik nr </w:t>
      </w:r>
      <w:r>
        <w:rPr>
          <w:rFonts w:ascii="Times New Roman" w:hAnsi="Times New Roman"/>
          <w:b/>
          <w:sz w:val="24"/>
          <w:szCs w:val="24"/>
        </w:rPr>
        <w:t>2</w:t>
      </w:r>
      <w:r w:rsidRPr="00F9442F">
        <w:rPr>
          <w:rFonts w:ascii="Times New Roman" w:hAnsi="Times New Roman"/>
          <w:b/>
          <w:sz w:val="24"/>
          <w:szCs w:val="24"/>
        </w:rPr>
        <w:t xml:space="preserve"> do ogłoszenia o naborze Nr </w:t>
      </w:r>
      <w:r w:rsidR="00AD6E2B">
        <w:rPr>
          <w:rFonts w:ascii="Times New Roman" w:hAnsi="Times New Roman"/>
          <w:b/>
          <w:sz w:val="24"/>
          <w:szCs w:val="24"/>
        </w:rPr>
        <w:t>5</w:t>
      </w:r>
      <w:r w:rsidR="004B09F6">
        <w:rPr>
          <w:rFonts w:ascii="Times New Roman" w:hAnsi="Times New Roman"/>
          <w:b/>
          <w:sz w:val="24"/>
          <w:szCs w:val="24"/>
        </w:rPr>
        <w:t>/2020</w:t>
      </w:r>
      <w:bookmarkStart w:id="0" w:name="_GoBack"/>
      <w:bookmarkEnd w:id="0"/>
      <w:r w:rsidR="00937B54">
        <w:rPr>
          <w:rFonts w:ascii="Times New Roman" w:hAnsi="Times New Roman"/>
          <w:b/>
          <w:sz w:val="24"/>
          <w:szCs w:val="24"/>
        </w:rPr>
        <w:t>/G</w:t>
      </w:r>
    </w:p>
    <w:p w:rsidR="00624049" w:rsidRDefault="00624049" w:rsidP="00624049">
      <w:pPr>
        <w:spacing w:after="0" w:line="240" w:lineRule="auto"/>
        <w:rPr>
          <w:rFonts w:ascii="Times New Roman" w:hAnsi="Times New Roman"/>
          <w:b/>
        </w:rPr>
      </w:pPr>
    </w:p>
    <w:tbl>
      <w:tblPr>
        <w:tblStyle w:val="Tabela-Siatka"/>
        <w:tblW w:w="0" w:type="auto"/>
        <w:tblInd w:w="0" w:type="dxa"/>
        <w:tblLayout w:type="fixed"/>
        <w:tblLook w:val="04A0" w:firstRow="1" w:lastRow="0" w:firstColumn="1" w:lastColumn="0" w:noHBand="0" w:noVBand="1"/>
      </w:tblPr>
      <w:tblGrid>
        <w:gridCol w:w="2363"/>
        <w:gridCol w:w="1573"/>
        <w:gridCol w:w="5103"/>
      </w:tblGrid>
      <w:tr w:rsidR="00213735" w:rsidRPr="00213735" w:rsidTr="00213735">
        <w:tc>
          <w:tcPr>
            <w:tcW w:w="9039"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13735" w:rsidRPr="00213735" w:rsidRDefault="00213735" w:rsidP="00213735">
            <w:pPr>
              <w:spacing w:after="0" w:line="240" w:lineRule="auto"/>
              <w:rPr>
                <w:rFonts w:ascii="Times New Roman" w:eastAsia="Times New Roman" w:hAnsi="Times New Roman"/>
                <w:b/>
                <w:sz w:val="24"/>
                <w:szCs w:val="24"/>
              </w:rPr>
            </w:pPr>
            <w:r w:rsidRPr="00213735">
              <w:rPr>
                <w:rFonts w:ascii="Times New Roman" w:eastAsia="Times New Roman" w:hAnsi="Times New Roman"/>
                <w:b/>
                <w:sz w:val="24"/>
                <w:szCs w:val="24"/>
              </w:rPr>
              <w:t>KRYTERIA WYBORU GRANTÓW DLA CELU OGÓLNEGO NR 3 – WZROST KAPITAŁU SPOŁECZNEGO NA OBSZARZE LGD</w:t>
            </w:r>
          </w:p>
        </w:tc>
      </w:tr>
      <w:tr w:rsidR="00213735" w:rsidRPr="00213735" w:rsidTr="00BF382C">
        <w:tc>
          <w:tcPr>
            <w:tcW w:w="2363" w:type="dxa"/>
            <w:tcBorders>
              <w:top w:val="single" w:sz="4" w:space="0" w:color="auto"/>
              <w:left w:val="single" w:sz="4" w:space="0" w:color="auto"/>
              <w:bottom w:val="single" w:sz="4" w:space="0" w:color="auto"/>
              <w:right w:val="single" w:sz="4" w:space="0" w:color="auto"/>
            </w:tcBorders>
            <w:shd w:val="clear" w:color="auto" w:fill="D9D9D9"/>
            <w:hideMark/>
          </w:tcPr>
          <w:p w:rsidR="00213735" w:rsidRPr="00213735" w:rsidRDefault="00213735" w:rsidP="00213735">
            <w:pPr>
              <w:spacing w:after="0" w:line="240" w:lineRule="auto"/>
              <w:rPr>
                <w:rFonts w:ascii="Times New Roman" w:eastAsia="Times New Roman" w:hAnsi="Times New Roman"/>
                <w:b/>
                <w:sz w:val="24"/>
                <w:szCs w:val="24"/>
              </w:rPr>
            </w:pPr>
            <w:r w:rsidRPr="00213735">
              <w:rPr>
                <w:rFonts w:ascii="Times New Roman" w:eastAsia="Times New Roman" w:hAnsi="Times New Roman"/>
                <w:b/>
                <w:sz w:val="24"/>
                <w:szCs w:val="24"/>
              </w:rPr>
              <w:t>Nazwa Kryterium Wyboru Operacji</w:t>
            </w:r>
          </w:p>
        </w:tc>
        <w:tc>
          <w:tcPr>
            <w:tcW w:w="1573" w:type="dxa"/>
            <w:tcBorders>
              <w:top w:val="single" w:sz="4" w:space="0" w:color="auto"/>
              <w:left w:val="single" w:sz="4" w:space="0" w:color="auto"/>
              <w:bottom w:val="single" w:sz="4" w:space="0" w:color="auto"/>
              <w:right w:val="single" w:sz="4" w:space="0" w:color="auto"/>
            </w:tcBorders>
            <w:shd w:val="clear" w:color="auto" w:fill="D9D9D9"/>
            <w:hideMark/>
          </w:tcPr>
          <w:p w:rsidR="00213735" w:rsidRPr="00213735" w:rsidRDefault="00213735" w:rsidP="00213735">
            <w:pPr>
              <w:spacing w:after="0" w:line="240" w:lineRule="auto"/>
              <w:rPr>
                <w:rFonts w:ascii="Times New Roman" w:eastAsia="Times New Roman" w:hAnsi="Times New Roman"/>
                <w:b/>
                <w:sz w:val="24"/>
                <w:szCs w:val="24"/>
              </w:rPr>
            </w:pPr>
            <w:r w:rsidRPr="00213735">
              <w:rPr>
                <w:rFonts w:ascii="Times New Roman" w:eastAsia="Times New Roman" w:hAnsi="Times New Roman"/>
                <w:b/>
                <w:sz w:val="24"/>
                <w:szCs w:val="24"/>
              </w:rPr>
              <w:t>Liczba Przyznanych Punktów</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rsidR="00213735" w:rsidRPr="00213735" w:rsidRDefault="00213735" w:rsidP="00213735">
            <w:pPr>
              <w:spacing w:after="0" w:line="240" w:lineRule="auto"/>
              <w:rPr>
                <w:rFonts w:ascii="Times New Roman" w:eastAsia="Times New Roman" w:hAnsi="Times New Roman"/>
                <w:b/>
                <w:sz w:val="24"/>
                <w:szCs w:val="24"/>
              </w:rPr>
            </w:pPr>
            <w:r w:rsidRPr="00213735">
              <w:rPr>
                <w:rFonts w:ascii="Times New Roman" w:eastAsia="Times New Roman" w:hAnsi="Times New Roman"/>
                <w:b/>
                <w:sz w:val="24"/>
                <w:szCs w:val="24"/>
              </w:rPr>
              <w:t>Opis / Potencjalne Oddziaływanie</w:t>
            </w:r>
          </w:p>
        </w:tc>
      </w:tr>
      <w:tr w:rsidR="00213735" w:rsidRPr="00213735" w:rsidTr="00BF382C">
        <w:tc>
          <w:tcPr>
            <w:tcW w:w="236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1. Doświadczenie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wnioskodawcy w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realizacji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projektów:</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sym w:font="Symbol" w:char="F0B7"/>
            </w:r>
            <w:r w:rsidRPr="00213735">
              <w:rPr>
                <w:rFonts w:ascii="Times New Roman" w:eastAsia="Times New Roman" w:hAnsi="Times New Roman"/>
                <w:sz w:val="24"/>
                <w:szCs w:val="24"/>
              </w:rPr>
              <w:t xml:space="preserve"> Nie posiada</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doświadczenia </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sym w:font="Symbol" w:char="F0B7"/>
            </w:r>
            <w:r w:rsidRPr="00213735">
              <w:rPr>
                <w:rFonts w:ascii="Times New Roman" w:eastAsia="Times New Roman" w:hAnsi="Times New Roman"/>
                <w:sz w:val="24"/>
                <w:szCs w:val="24"/>
              </w:rPr>
              <w:t xml:space="preserve"> Zrealizował</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przynajmniej</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jeden projekt </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0"/>
              </w:numPr>
              <w:spacing w:after="0" w:line="240" w:lineRule="auto"/>
              <w:ind w:left="360"/>
              <w:rPr>
                <w:rFonts w:ascii="Times New Roman" w:eastAsia="Times New Roman" w:hAnsi="Times New Roman"/>
                <w:sz w:val="24"/>
                <w:szCs w:val="24"/>
              </w:rPr>
            </w:pPr>
            <w:r w:rsidRPr="00213735">
              <w:rPr>
                <w:rFonts w:ascii="Times New Roman" w:eastAsia="Times New Roman" w:hAnsi="Times New Roman"/>
                <w:sz w:val="24"/>
                <w:szCs w:val="24"/>
              </w:rPr>
              <w:t xml:space="preserve">Zrealizował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dwa projekty</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0"/>
              </w:numPr>
              <w:spacing w:after="0" w:line="240" w:lineRule="auto"/>
              <w:ind w:left="360"/>
              <w:rPr>
                <w:rFonts w:ascii="Times New Roman" w:eastAsia="Times New Roman" w:hAnsi="Times New Roman"/>
                <w:sz w:val="24"/>
                <w:szCs w:val="24"/>
              </w:rPr>
            </w:pPr>
            <w:r w:rsidRPr="00213735">
              <w:rPr>
                <w:rFonts w:ascii="Times New Roman" w:eastAsia="Times New Roman" w:hAnsi="Times New Roman"/>
                <w:sz w:val="24"/>
                <w:szCs w:val="24"/>
              </w:rPr>
              <w:t>Zrealizował trzy i więcej projektów</w:t>
            </w:r>
          </w:p>
        </w:tc>
        <w:tc>
          <w:tcPr>
            <w:tcW w:w="157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0"/>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0 pkt</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0"/>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1 pkt</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0"/>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2 pkt</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0"/>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3 pkt</w:t>
            </w:r>
          </w:p>
        </w:tc>
        <w:tc>
          <w:tcPr>
            <w:tcW w:w="510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Z uwagi na słabo rozwinięty kapitał społeczny w regionie istnieje konieczność jego wzmocnienia poprzez promowanie podmiotów posiadających doświadczenia w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realizacji projektów ze środków </w:t>
            </w:r>
          </w:p>
          <w:p w:rsidR="00213735" w:rsidRPr="00213735" w:rsidRDefault="00213735" w:rsidP="00213735">
            <w:pPr>
              <w:spacing w:after="0" w:line="240" w:lineRule="auto"/>
              <w:rPr>
                <w:rFonts w:ascii="Times New Roman" w:eastAsia="Times New Roman" w:hAnsi="Times New Roman"/>
                <w:i/>
                <w:sz w:val="24"/>
                <w:szCs w:val="24"/>
              </w:rPr>
            </w:pPr>
            <w:r w:rsidRPr="00213735">
              <w:rPr>
                <w:rFonts w:ascii="Times New Roman" w:eastAsia="Times New Roman" w:hAnsi="Times New Roman"/>
                <w:sz w:val="24"/>
                <w:szCs w:val="24"/>
              </w:rPr>
              <w:t xml:space="preserve">zewnętrznych. Dlatego też preferowane będą projekty składane przez podmioty, które będą w stanie udokumentować w ciągu 5 ostatnich lat, liczonych od dnia złożenia wniosku </w:t>
            </w:r>
            <w:r w:rsidRPr="00213735">
              <w:rPr>
                <w:rFonts w:ascii="Times New Roman" w:eastAsia="Times New Roman" w:hAnsi="Times New Roman"/>
                <w:i/>
                <w:sz w:val="24"/>
                <w:szCs w:val="24"/>
              </w:rPr>
              <w:t>(kopią umowy o przyznanie pomocy)</w:t>
            </w:r>
            <w:r w:rsidRPr="00213735">
              <w:rPr>
                <w:rFonts w:ascii="Times New Roman" w:eastAsia="Times New Roman" w:hAnsi="Times New Roman"/>
                <w:sz w:val="24"/>
                <w:szCs w:val="24"/>
              </w:rPr>
              <w:t xml:space="preserve"> realizację własnych projektów współfinansowanych ze środków zewnętrznych, przy czym nie będzie miała znaczenia kwota dotacji jaką organizacja ta otrzymała, jak również źródło finansowania działań </w:t>
            </w:r>
            <w:r w:rsidRPr="00213735">
              <w:rPr>
                <w:rFonts w:ascii="Times New Roman" w:eastAsia="Times New Roman" w:hAnsi="Times New Roman"/>
                <w:i/>
                <w:sz w:val="24"/>
                <w:szCs w:val="24"/>
              </w:rPr>
              <w:t xml:space="preserve">(środki mogą być przyznane przez Gminę, Zarząd Powiatu, Samorząd Województwa, Ministerstwo, UE).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Wykluczone są środki pochodzące od darczyńców</w:t>
            </w:r>
            <w:r w:rsidRPr="00213735">
              <w:rPr>
                <w:rFonts w:ascii="Times New Roman" w:eastAsia="Times New Roman" w:hAnsi="Times New Roman"/>
                <w:i/>
                <w:sz w:val="24"/>
                <w:szCs w:val="24"/>
              </w:rPr>
              <w:t xml:space="preserve"> (tzw. darowizny)</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To kryterium weryfikowane będzie na podstawie załączonych do wniosku dokumentów potwierdzających realizację projektu/ów. </w:t>
            </w:r>
          </w:p>
        </w:tc>
      </w:tr>
      <w:tr w:rsidR="00213735" w:rsidRPr="00213735" w:rsidTr="00BF382C">
        <w:tc>
          <w:tcPr>
            <w:tcW w:w="236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2. Innowacyjność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operacji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sym w:font="Symbol" w:char="F0B7"/>
            </w:r>
            <w:r w:rsidRPr="00213735">
              <w:rPr>
                <w:rFonts w:ascii="Times New Roman" w:eastAsia="Times New Roman" w:hAnsi="Times New Roman"/>
                <w:sz w:val="24"/>
                <w:szCs w:val="24"/>
              </w:rPr>
              <w:t xml:space="preserve"> Działanie nie</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posiada</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innowacyjnego</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charakteru </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sym w:font="Symbol" w:char="F0B7"/>
            </w:r>
            <w:r w:rsidRPr="00213735">
              <w:rPr>
                <w:rFonts w:ascii="Times New Roman" w:eastAsia="Times New Roman" w:hAnsi="Times New Roman"/>
                <w:sz w:val="24"/>
                <w:szCs w:val="24"/>
              </w:rPr>
              <w:t xml:space="preserve"> Działanie posiada</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charakter</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innowacyjny na</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terenie</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miejscowości</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1"/>
              </w:numPr>
              <w:spacing w:after="0" w:line="240" w:lineRule="auto"/>
              <w:ind w:left="360"/>
              <w:rPr>
                <w:rFonts w:ascii="Times New Roman" w:eastAsia="Times New Roman" w:hAnsi="Times New Roman"/>
                <w:sz w:val="24"/>
                <w:szCs w:val="24"/>
              </w:rPr>
            </w:pPr>
            <w:r w:rsidRPr="00213735">
              <w:rPr>
                <w:rFonts w:ascii="Times New Roman" w:eastAsia="Times New Roman" w:hAnsi="Times New Roman"/>
                <w:sz w:val="24"/>
                <w:szCs w:val="24"/>
              </w:rPr>
              <w:t>Działanie posiada</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charakter</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innowacyjny na</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terenie gminy</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2"/>
              </w:numPr>
              <w:spacing w:after="0" w:line="240" w:lineRule="auto"/>
              <w:ind w:left="360"/>
              <w:rPr>
                <w:rFonts w:ascii="Times New Roman" w:eastAsia="Times New Roman" w:hAnsi="Times New Roman"/>
                <w:sz w:val="24"/>
                <w:szCs w:val="24"/>
              </w:rPr>
            </w:pPr>
            <w:r w:rsidRPr="00213735">
              <w:rPr>
                <w:rFonts w:ascii="Times New Roman" w:eastAsia="Times New Roman" w:hAnsi="Times New Roman"/>
                <w:sz w:val="24"/>
                <w:szCs w:val="24"/>
              </w:rPr>
              <w:t>Działanie posiada</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charakter</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innowacyjny na</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terenie LGD</w:t>
            </w:r>
          </w:p>
          <w:p w:rsidR="00213735" w:rsidRPr="00213735" w:rsidRDefault="00213735" w:rsidP="00213735">
            <w:pPr>
              <w:spacing w:after="0" w:line="240" w:lineRule="auto"/>
              <w:rPr>
                <w:rFonts w:ascii="Times New Roman" w:eastAsia="Times New Roman" w:hAnsi="Times New Roman"/>
                <w:sz w:val="24"/>
                <w:szCs w:val="24"/>
              </w:rPr>
            </w:pPr>
          </w:p>
        </w:tc>
        <w:tc>
          <w:tcPr>
            <w:tcW w:w="157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3"/>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0 pkt</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3"/>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1 pkt</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3"/>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2 pkt</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3"/>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3 pkt</w:t>
            </w:r>
          </w:p>
        </w:tc>
        <w:tc>
          <w:tcPr>
            <w:tcW w:w="510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i/>
                <w:sz w:val="24"/>
                <w:szCs w:val="24"/>
              </w:rPr>
            </w:pPr>
            <w:r w:rsidRPr="00213735">
              <w:rPr>
                <w:rFonts w:ascii="Times New Roman" w:eastAsia="Times New Roman" w:hAnsi="Times New Roman"/>
                <w:sz w:val="24"/>
                <w:szCs w:val="24"/>
              </w:rPr>
              <w:lastRenderedPageBreak/>
              <w:t xml:space="preserve">Innowacyjność - </w:t>
            </w:r>
            <w:r w:rsidRPr="00213735">
              <w:rPr>
                <w:rFonts w:ascii="Times New Roman" w:eastAsia="Times New Roman" w:hAnsi="Times New Roman"/>
                <w:i/>
                <w:sz w:val="24"/>
                <w:szCs w:val="24"/>
              </w:rPr>
              <w:t xml:space="preserve">oznacza wprowadzanie  nowego </w:t>
            </w:r>
            <w:r w:rsidRPr="00213735">
              <w:rPr>
                <w:rFonts w:ascii="Times New Roman" w:eastAsia="Times New Roman" w:hAnsi="Times New Roman"/>
                <w:sz w:val="24"/>
                <w:szCs w:val="24"/>
              </w:rPr>
              <w:t xml:space="preserve">lub udoskonalonego </w:t>
            </w:r>
            <w:r w:rsidRPr="00213735">
              <w:rPr>
                <w:rFonts w:ascii="Times New Roman" w:eastAsia="Times New Roman" w:hAnsi="Times New Roman"/>
                <w:i/>
                <w:sz w:val="24"/>
                <w:szCs w:val="24"/>
              </w:rPr>
              <w:t>produktu (wyrobu lub usługi) na terenie całego LGD lub na terenie gminy lub na terenie miejscowości.</w:t>
            </w:r>
          </w:p>
          <w:p w:rsidR="00213735" w:rsidRPr="00213735" w:rsidRDefault="00213735" w:rsidP="00213735">
            <w:pPr>
              <w:spacing w:after="0" w:line="240" w:lineRule="auto"/>
              <w:rPr>
                <w:rFonts w:ascii="Times New Roman" w:eastAsia="Times New Roman" w:hAnsi="Times New Roman"/>
                <w:i/>
                <w:sz w:val="24"/>
                <w:szCs w:val="24"/>
              </w:rPr>
            </w:pPr>
            <w:r w:rsidRPr="00213735">
              <w:rPr>
                <w:rFonts w:ascii="Times New Roman" w:eastAsia="Times New Roman" w:hAnsi="Times New Roman"/>
                <w:i/>
                <w:sz w:val="24"/>
                <w:szCs w:val="24"/>
              </w:rPr>
              <w:t>Innowacyjność to także nietypowe, niestandardowe wykorzystanie czy promocja lokalnych zasobów (przyrodniczych, kulturowych, w tym związanych z lokalnym dziedzictwem kulinarnym, tradycjami rzemieślniczymi, lokalnymi opowieściami i legendami, wydarzeniami historycznymi bądź wybitnymi postaciami związanymi z danym obszarem poprzez miejsce urodzenia czy pobytu).?</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Kryterium weryfikowane będzie na podstawie zapisów we wniosku aplikacyjnym.</w:t>
            </w:r>
          </w:p>
        </w:tc>
      </w:tr>
      <w:tr w:rsidR="00213735" w:rsidRPr="00213735" w:rsidTr="00BF382C">
        <w:tc>
          <w:tcPr>
            <w:tcW w:w="2363" w:type="dxa"/>
            <w:tcBorders>
              <w:top w:val="single" w:sz="4" w:space="0" w:color="auto"/>
              <w:left w:val="single" w:sz="4" w:space="0" w:color="auto"/>
              <w:bottom w:val="single" w:sz="4" w:space="0" w:color="auto"/>
              <w:right w:val="single" w:sz="4" w:space="0" w:color="auto"/>
            </w:tcBorders>
            <w:hideMark/>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3. Czy operacja realizowana jest w miejscowości  poniżej 5 tys. mieszkańców</w:t>
            </w:r>
          </w:p>
          <w:p w:rsidR="00213735" w:rsidRPr="00213735" w:rsidRDefault="00213735" w:rsidP="00213735">
            <w:pPr>
              <w:numPr>
                <w:ilvl w:val="0"/>
                <w:numId w:val="14"/>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Nie</w:t>
            </w:r>
          </w:p>
          <w:p w:rsidR="00213735" w:rsidRPr="00213735" w:rsidRDefault="00213735" w:rsidP="00213735">
            <w:pPr>
              <w:numPr>
                <w:ilvl w:val="0"/>
                <w:numId w:val="14"/>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Tak</w:t>
            </w:r>
          </w:p>
        </w:tc>
        <w:tc>
          <w:tcPr>
            <w:tcW w:w="157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4"/>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0 pkt</w:t>
            </w:r>
          </w:p>
          <w:p w:rsidR="00213735" w:rsidRPr="00213735" w:rsidRDefault="00213735" w:rsidP="00213735">
            <w:pPr>
              <w:numPr>
                <w:ilvl w:val="0"/>
                <w:numId w:val="14"/>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1 pkt</w:t>
            </w:r>
          </w:p>
        </w:tc>
        <w:tc>
          <w:tcPr>
            <w:tcW w:w="510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W ramach realizacji projektów preferowane będą operacje, które realizowane będą w miejscowościach poniżej 5 tys. mieszkańców. Tym kryterium LGD chce wzmocnić przede wszystkim te miejscowości, które z uwagi na mniejszą liczbę mieszkańców są często marginalizowane.</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Kryterium weryfikowane będzie w oparciu o dane statystyczne pozyskane z Urzędu Gminy przez LGD, na dzień 31.12.2016 r.</w:t>
            </w:r>
          </w:p>
          <w:p w:rsidR="00213735" w:rsidRPr="00213735" w:rsidRDefault="00213735" w:rsidP="00213735">
            <w:pPr>
              <w:spacing w:after="0" w:line="240" w:lineRule="auto"/>
              <w:rPr>
                <w:rFonts w:ascii="Times New Roman" w:eastAsia="Times New Roman" w:hAnsi="Times New Roman"/>
                <w:sz w:val="24"/>
                <w:szCs w:val="24"/>
              </w:rPr>
            </w:pPr>
          </w:p>
        </w:tc>
      </w:tr>
      <w:tr w:rsidR="00213735" w:rsidRPr="00213735" w:rsidTr="00BF382C">
        <w:tc>
          <w:tcPr>
            <w:tcW w:w="236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4. Czy realizacja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operacji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przyczyni się do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zwiększenia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aktywności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społecznej ? </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sym w:font="Symbol" w:char="F0B7"/>
            </w:r>
            <w:r w:rsidRPr="00213735">
              <w:rPr>
                <w:rFonts w:ascii="Times New Roman" w:eastAsia="Times New Roman" w:hAnsi="Times New Roman"/>
                <w:sz w:val="24"/>
                <w:szCs w:val="24"/>
              </w:rPr>
              <w:t xml:space="preserve"> Nie</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sym w:font="Symbol" w:char="F0B7"/>
            </w:r>
            <w:r w:rsidRPr="00213735">
              <w:rPr>
                <w:rFonts w:ascii="Times New Roman" w:eastAsia="Times New Roman" w:hAnsi="Times New Roman"/>
                <w:sz w:val="24"/>
                <w:szCs w:val="24"/>
              </w:rPr>
              <w:t xml:space="preserve"> Tak</w:t>
            </w:r>
          </w:p>
        </w:tc>
        <w:tc>
          <w:tcPr>
            <w:tcW w:w="157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5"/>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0 pkt</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5"/>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4 pkt</w:t>
            </w:r>
          </w:p>
        </w:tc>
        <w:tc>
          <w:tcPr>
            <w:tcW w:w="510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Poziom aktywności społecznej jednoznacznie pokazuje, że ten aspekt kapitału społecznego wymaga interwencji ze strony LGD. Należy zatem premiować te działania, które przyczyniają się do zwiększenia aktywności społecznej. Dzieje się to wtedy i tylko wtedy, kiedy operacja zakłada stworzenie warunków do wzrostu takiej aktywności poprzez: </w:t>
            </w:r>
          </w:p>
          <w:p w:rsidR="00213735" w:rsidRPr="00213735" w:rsidRDefault="00213735" w:rsidP="00213735">
            <w:pPr>
              <w:numPr>
                <w:ilvl w:val="0"/>
                <w:numId w:val="16"/>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stworzenie miejsc służących integracji społecznej,</w:t>
            </w:r>
          </w:p>
          <w:p w:rsidR="00213735" w:rsidRPr="00213735" w:rsidRDefault="00213735" w:rsidP="00213735">
            <w:pPr>
              <w:numPr>
                <w:ilvl w:val="0"/>
                <w:numId w:val="16"/>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przygotowanie wydarzenia służącego integracji społecznej mieszkańców,</w:t>
            </w:r>
          </w:p>
          <w:p w:rsidR="00213735" w:rsidRPr="00213735" w:rsidRDefault="00213735" w:rsidP="00213735">
            <w:pPr>
              <w:numPr>
                <w:ilvl w:val="0"/>
                <w:numId w:val="16"/>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przygotowanie oferty edukacyjnej, kulturalnej, turystycznej lub rekreacyjnej dla mieszkańców zakładającej poprawę stanu aktywności społecznej. </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Tym działaniem LGD chce przede wszystkim zachęcić mieszkańców, także osoby zagrożone wykluczeniem społecznym (osoby w wieku poprodukcyjnym) do aktywnego udziału w życiu społecznym. </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Kryterium weryfikowane będzie na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podstawie zapisów we wniosku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aplikacyjnym. </w:t>
            </w:r>
          </w:p>
          <w:p w:rsidR="00213735" w:rsidRPr="00213735" w:rsidRDefault="00213735" w:rsidP="00213735">
            <w:pPr>
              <w:spacing w:after="0" w:line="240" w:lineRule="auto"/>
              <w:rPr>
                <w:rFonts w:ascii="Times New Roman" w:eastAsia="Times New Roman" w:hAnsi="Times New Roman"/>
                <w:sz w:val="24"/>
                <w:szCs w:val="24"/>
              </w:rPr>
            </w:pPr>
          </w:p>
        </w:tc>
      </w:tr>
      <w:tr w:rsidR="00213735" w:rsidRPr="00213735" w:rsidTr="00BF382C">
        <w:tc>
          <w:tcPr>
            <w:tcW w:w="236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5. </w:t>
            </w:r>
            <w:r w:rsidRPr="00213735">
              <w:rPr>
                <w:rFonts w:ascii="Times New Roman" w:eastAsia="Times New Roman" w:hAnsi="Times New Roman"/>
                <w:i/>
                <w:sz w:val="24"/>
                <w:szCs w:val="24"/>
              </w:rPr>
              <w:t xml:space="preserve">Przewidziany czas realizacji projektu od </w:t>
            </w:r>
            <w:r w:rsidRPr="00213735">
              <w:rPr>
                <w:rFonts w:ascii="Times New Roman" w:eastAsia="Times New Roman" w:hAnsi="Times New Roman"/>
                <w:i/>
                <w:sz w:val="24"/>
                <w:szCs w:val="24"/>
              </w:rPr>
              <w:lastRenderedPageBreak/>
              <w:t>dnia podpisania umowy</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7"/>
              </w:numPr>
              <w:spacing w:after="0" w:line="240" w:lineRule="auto"/>
              <w:ind w:left="360"/>
              <w:rPr>
                <w:rFonts w:ascii="Times New Roman" w:eastAsia="Times New Roman" w:hAnsi="Times New Roman"/>
                <w:sz w:val="24"/>
                <w:szCs w:val="24"/>
              </w:rPr>
            </w:pPr>
            <w:r w:rsidRPr="00213735">
              <w:rPr>
                <w:rFonts w:ascii="Times New Roman" w:eastAsia="Times New Roman" w:hAnsi="Times New Roman"/>
                <w:sz w:val="24"/>
                <w:szCs w:val="24"/>
              </w:rPr>
              <w:t>Do 12 miesięcy</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7"/>
              </w:numPr>
              <w:spacing w:after="0" w:line="240" w:lineRule="auto"/>
              <w:ind w:left="417"/>
              <w:rPr>
                <w:rFonts w:ascii="Times New Roman" w:eastAsia="Times New Roman" w:hAnsi="Times New Roman"/>
                <w:sz w:val="24"/>
                <w:szCs w:val="24"/>
              </w:rPr>
            </w:pPr>
            <w:r w:rsidRPr="00213735">
              <w:rPr>
                <w:rFonts w:ascii="Times New Roman" w:eastAsia="Times New Roman" w:hAnsi="Times New Roman"/>
                <w:sz w:val="24"/>
                <w:szCs w:val="24"/>
              </w:rPr>
              <w:t>Do 6 miesięcy</w:t>
            </w:r>
          </w:p>
        </w:tc>
        <w:tc>
          <w:tcPr>
            <w:tcW w:w="157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7"/>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1 pkt</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7"/>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2 pkt</w:t>
            </w:r>
          </w:p>
        </w:tc>
        <w:tc>
          <w:tcPr>
            <w:tcW w:w="510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lastRenderedPageBreak/>
              <w:t xml:space="preserve">Istnieje potrzeba wsparcia operacji realizowanych w krótkim okresie czasu z uwagi na kamień </w:t>
            </w:r>
            <w:r w:rsidRPr="00213735">
              <w:rPr>
                <w:rFonts w:ascii="Times New Roman" w:eastAsia="Times New Roman" w:hAnsi="Times New Roman"/>
                <w:sz w:val="24"/>
                <w:szCs w:val="24"/>
              </w:rPr>
              <w:lastRenderedPageBreak/>
              <w:t xml:space="preserve">milowy. </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Kryterium weryfikowane będzie na podstawie oświadczenia stanowiącego załącznik do wniosku o przyznanie pomocy</w:t>
            </w:r>
          </w:p>
          <w:p w:rsidR="00213735" w:rsidRPr="00213735" w:rsidRDefault="00213735" w:rsidP="00213735">
            <w:pPr>
              <w:spacing w:after="0" w:line="240" w:lineRule="auto"/>
              <w:rPr>
                <w:rFonts w:ascii="Times New Roman" w:eastAsia="Times New Roman" w:hAnsi="Times New Roman"/>
                <w:sz w:val="24"/>
                <w:szCs w:val="24"/>
              </w:rPr>
            </w:pPr>
          </w:p>
        </w:tc>
      </w:tr>
      <w:tr w:rsidR="00213735" w:rsidRPr="00213735" w:rsidTr="00BF382C">
        <w:tc>
          <w:tcPr>
            <w:tcW w:w="236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lastRenderedPageBreak/>
              <w:t>6. Gotowość do realizacji operacji:</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8"/>
              </w:numPr>
              <w:spacing w:after="0" w:line="240" w:lineRule="auto"/>
              <w:ind w:left="360"/>
              <w:rPr>
                <w:rFonts w:ascii="Times New Roman" w:eastAsia="Times New Roman" w:hAnsi="Times New Roman"/>
                <w:sz w:val="24"/>
                <w:szCs w:val="24"/>
              </w:rPr>
            </w:pPr>
            <w:r w:rsidRPr="00213735">
              <w:rPr>
                <w:rFonts w:ascii="Times New Roman" w:eastAsia="Times New Roman" w:hAnsi="Times New Roman"/>
                <w:sz w:val="24"/>
                <w:szCs w:val="24"/>
              </w:rPr>
              <w:t>Nie Występuje</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8"/>
              </w:numPr>
              <w:spacing w:after="0" w:line="240" w:lineRule="auto"/>
              <w:ind w:left="360"/>
              <w:rPr>
                <w:rFonts w:ascii="Times New Roman" w:eastAsia="Times New Roman" w:hAnsi="Times New Roman"/>
                <w:sz w:val="24"/>
                <w:szCs w:val="24"/>
              </w:rPr>
            </w:pPr>
            <w:r w:rsidRPr="00213735">
              <w:rPr>
                <w:rFonts w:ascii="Times New Roman" w:eastAsia="Times New Roman" w:hAnsi="Times New Roman"/>
                <w:sz w:val="24"/>
                <w:szCs w:val="24"/>
              </w:rPr>
              <w:t>Występuje</w:t>
            </w:r>
          </w:p>
        </w:tc>
        <w:tc>
          <w:tcPr>
            <w:tcW w:w="157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8"/>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0 pkt</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numPr>
                <w:ilvl w:val="0"/>
                <w:numId w:val="18"/>
              </w:num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5 pkt</w:t>
            </w:r>
          </w:p>
        </w:tc>
        <w:tc>
          <w:tcPr>
            <w:tcW w:w="510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Preferuje się operacje, które wykazują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największe możliwości realizacyjne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na dzień składania wniosku o przyznanie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pomocy, w wyniku dołączenia do wniosku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dokumentów niezbędnych do realizacji operacji,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Dla operacji inwestycyjnych będą to: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kosztorys inwestorski (jeśli dotyczy),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kopia zgłoszenia</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robót budowlanych,</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co najmniej 3 oferty na zakup sprzętu, maszyn, urządzeń lub elementów wyposażenia o jednostkowej wartości</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zakupu przekraczającej 1 tys. zł </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Dla operacji nie inwestycyjnych będą to:</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co najmniej 3 oferty na zakup towarów i usług o jednostkowej wartości zakupu</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przekraczającej 1 tys. zł,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wzory dokumentów potwierdzających</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organizację wydarzenia edukacyjnego,</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promocyjnego lub kulturalnego, w tym np.:  harmonogram/ program </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wydarzenia,  wzory zaproszeń lub plakatów informujących o planowanym</w:t>
            </w: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 xml:space="preserve">  wydarzeniu </w:t>
            </w:r>
          </w:p>
          <w:p w:rsidR="00213735" w:rsidRPr="00213735" w:rsidRDefault="00213735" w:rsidP="00213735">
            <w:pPr>
              <w:spacing w:after="0" w:line="240" w:lineRule="auto"/>
              <w:rPr>
                <w:rFonts w:ascii="Times New Roman" w:eastAsia="Times New Roman" w:hAnsi="Times New Roman"/>
                <w:sz w:val="24"/>
                <w:szCs w:val="24"/>
              </w:rPr>
            </w:pPr>
          </w:p>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Kryterium weryfikowane będzie na podstawie załączników do wniosku o przyznanie pomocy</w:t>
            </w:r>
          </w:p>
        </w:tc>
      </w:tr>
      <w:tr w:rsidR="00213735" w:rsidRPr="00213735" w:rsidTr="00BF382C">
        <w:tc>
          <w:tcPr>
            <w:tcW w:w="2363" w:type="dxa"/>
            <w:tcBorders>
              <w:top w:val="single" w:sz="4" w:space="0" w:color="auto"/>
              <w:left w:val="single" w:sz="4" w:space="0" w:color="auto"/>
              <w:bottom w:val="single" w:sz="4" w:space="0" w:color="auto"/>
              <w:right w:val="single" w:sz="4" w:space="0" w:color="auto"/>
            </w:tcBorders>
            <w:hideMark/>
          </w:tcPr>
          <w:p w:rsidR="00213735" w:rsidRPr="00213735" w:rsidRDefault="00213735" w:rsidP="00213735">
            <w:pPr>
              <w:spacing w:after="0" w:line="240" w:lineRule="auto"/>
              <w:rPr>
                <w:rFonts w:ascii="Times New Roman" w:eastAsia="Times New Roman" w:hAnsi="Times New Roman"/>
                <w:b/>
                <w:sz w:val="24"/>
                <w:szCs w:val="24"/>
              </w:rPr>
            </w:pPr>
            <w:r w:rsidRPr="00213735">
              <w:rPr>
                <w:rFonts w:ascii="Times New Roman" w:eastAsia="Times New Roman" w:hAnsi="Times New Roman"/>
                <w:b/>
                <w:sz w:val="24"/>
                <w:szCs w:val="24"/>
              </w:rPr>
              <w:t>Maksymalna liczba punktów:</w:t>
            </w:r>
          </w:p>
        </w:tc>
        <w:tc>
          <w:tcPr>
            <w:tcW w:w="1573" w:type="dxa"/>
            <w:tcBorders>
              <w:top w:val="single" w:sz="4" w:space="0" w:color="auto"/>
              <w:left w:val="single" w:sz="4" w:space="0" w:color="auto"/>
              <w:bottom w:val="single" w:sz="4" w:space="0" w:color="auto"/>
              <w:right w:val="single" w:sz="4" w:space="0" w:color="auto"/>
            </w:tcBorders>
            <w:hideMark/>
          </w:tcPr>
          <w:p w:rsidR="00213735" w:rsidRPr="00213735" w:rsidRDefault="005F09EF" w:rsidP="005F09E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18</w:t>
            </w:r>
            <w:r w:rsidR="00213735" w:rsidRPr="00213735">
              <w:rPr>
                <w:rFonts w:ascii="Times New Roman" w:eastAsia="Times New Roman" w:hAnsi="Times New Roman"/>
                <w:b/>
                <w:sz w:val="24"/>
                <w:szCs w:val="24"/>
              </w:rPr>
              <w:t xml:space="preserve"> pkt</w:t>
            </w:r>
          </w:p>
        </w:tc>
        <w:tc>
          <w:tcPr>
            <w:tcW w:w="510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b/>
                <w:sz w:val="24"/>
                <w:szCs w:val="24"/>
              </w:rPr>
            </w:pPr>
          </w:p>
        </w:tc>
      </w:tr>
      <w:tr w:rsidR="00213735" w:rsidRPr="00213735" w:rsidTr="00BF382C">
        <w:tc>
          <w:tcPr>
            <w:tcW w:w="2363" w:type="dxa"/>
            <w:tcBorders>
              <w:top w:val="single" w:sz="4" w:space="0" w:color="auto"/>
              <w:left w:val="single" w:sz="4" w:space="0" w:color="auto"/>
              <w:bottom w:val="single" w:sz="4" w:space="0" w:color="auto"/>
              <w:right w:val="single" w:sz="4" w:space="0" w:color="auto"/>
            </w:tcBorders>
            <w:hideMark/>
          </w:tcPr>
          <w:p w:rsidR="00213735" w:rsidRPr="00213735" w:rsidRDefault="00213735" w:rsidP="00213735">
            <w:pPr>
              <w:spacing w:after="0" w:line="240" w:lineRule="auto"/>
              <w:rPr>
                <w:rFonts w:ascii="Times New Roman" w:eastAsia="Times New Roman" w:hAnsi="Times New Roman"/>
                <w:b/>
                <w:sz w:val="24"/>
                <w:szCs w:val="24"/>
              </w:rPr>
            </w:pPr>
            <w:r w:rsidRPr="00213735">
              <w:rPr>
                <w:rFonts w:ascii="Times New Roman" w:eastAsia="Times New Roman" w:hAnsi="Times New Roman"/>
                <w:b/>
                <w:sz w:val="24"/>
                <w:szCs w:val="24"/>
              </w:rPr>
              <w:t>Minimalna liczba punktów</w:t>
            </w:r>
          </w:p>
        </w:tc>
        <w:tc>
          <w:tcPr>
            <w:tcW w:w="1573" w:type="dxa"/>
            <w:tcBorders>
              <w:top w:val="single" w:sz="4" w:space="0" w:color="auto"/>
              <w:left w:val="single" w:sz="4" w:space="0" w:color="auto"/>
              <w:bottom w:val="single" w:sz="4" w:space="0" w:color="auto"/>
              <w:right w:val="single" w:sz="4" w:space="0" w:color="auto"/>
            </w:tcBorders>
            <w:hideMark/>
          </w:tcPr>
          <w:p w:rsidR="00213735" w:rsidRPr="00213735" w:rsidRDefault="005F09EF" w:rsidP="0021373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w:t>
            </w:r>
            <w:r w:rsidR="00213735" w:rsidRPr="00213735">
              <w:rPr>
                <w:rFonts w:ascii="Times New Roman" w:eastAsia="Times New Roman" w:hAnsi="Times New Roman"/>
                <w:b/>
                <w:sz w:val="24"/>
                <w:szCs w:val="24"/>
              </w:rPr>
              <w:t xml:space="preserve"> pkt</w:t>
            </w:r>
          </w:p>
        </w:tc>
        <w:tc>
          <w:tcPr>
            <w:tcW w:w="5103" w:type="dxa"/>
            <w:tcBorders>
              <w:top w:val="single" w:sz="4" w:space="0" w:color="auto"/>
              <w:left w:val="single" w:sz="4" w:space="0" w:color="auto"/>
              <w:bottom w:val="single" w:sz="4" w:space="0" w:color="auto"/>
              <w:right w:val="single" w:sz="4" w:space="0" w:color="auto"/>
            </w:tcBorders>
          </w:tcPr>
          <w:p w:rsidR="00213735" w:rsidRPr="00213735" w:rsidRDefault="00213735" w:rsidP="00213735">
            <w:pPr>
              <w:spacing w:after="0" w:line="240" w:lineRule="auto"/>
              <w:rPr>
                <w:rFonts w:ascii="Times New Roman" w:eastAsia="Times New Roman" w:hAnsi="Times New Roman"/>
                <w:b/>
                <w:sz w:val="24"/>
                <w:szCs w:val="24"/>
              </w:rPr>
            </w:pPr>
          </w:p>
        </w:tc>
      </w:tr>
      <w:tr w:rsidR="00213735" w:rsidRPr="00213735" w:rsidTr="00213735">
        <w:tc>
          <w:tcPr>
            <w:tcW w:w="9039" w:type="dxa"/>
            <w:gridSpan w:val="3"/>
            <w:tcBorders>
              <w:top w:val="single" w:sz="4" w:space="0" w:color="auto"/>
              <w:left w:val="single" w:sz="4" w:space="0" w:color="auto"/>
              <w:bottom w:val="single" w:sz="4" w:space="0" w:color="auto"/>
              <w:right w:val="single" w:sz="4" w:space="0" w:color="auto"/>
            </w:tcBorders>
            <w:hideMark/>
          </w:tcPr>
          <w:p w:rsidR="00213735" w:rsidRPr="00213735" w:rsidRDefault="00213735" w:rsidP="00213735">
            <w:pPr>
              <w:spacing w:after="0" w:line="240" w:lineRule="auto"/>
              <w:rPr>
                <w:rFonts w:ascii="Times New Roman" w:eastAsia="Times New Roman" w:hAnsi="Times New Roman"/>
                <w:sz w:val="24"/>
                <w:szCs w:val="24"/>
              </w:rPr>
            </w:pPr>
            <w:r w:rsidRPr="00213735">
              <w:rPr>
                <w:rFonts w:ascii="Times New Roman" w:eastAsia="Times New Roman" w:hAnsi="Times New Roman"/>
                <w:sz w:val="24"/>
                <w:szCs w:val="24"/>
              </w:rPr>
              <w:t>Miejsce operacji na liście rankingowej określa średnia arytmetyczna (do dwóch miejsc po przecinku) wszystkich indywidualnych ocen</w:t>
            </w:r>
          </w:p>
        </w:tc>
      </w:tr>
      <w:tr w:rsidR="00213735" w:rsidRPr="00213735" w:rsidTr="00213735">
        <w:tc>
          <w:tcPr>
            <w:tcW w:w="9039" w:type="dxa"/>
            <w:gridSpan w:val="3"/>
            <w:tcBorders>
              <w:top w:val="single" w:sz="4" w:space="0" w:color="auto"/>
              <w:left w:val="single" w:sz="4" w:space="0" w:color="auto"/>
              <w:bottom w:val="single" w:sz="4" w:space="0" w:color="auto"/>
              <w:right w:val="single" w:sz="4" w:space="0" w:color="auto"/>
            </w:tcBorders>
            <w:hideMark/>
          </w:tcPr>
          <w:p w:rsidR="00213735" w:rsidRPr="00213735" w:rsidRDefault="00213735" w:rsidP="00213735">
            <w:pPr>
              <w:spacing w:after="0" w:line="240" w:lineRule="auto"/>
              <w:jc w:val="both"/>
              <w:rPr>
                <w:rFonts w:ascii="Times New Roman" w:eastAsia="Times New Roman" w:hAnsi="Times New Roman"/>
                <w:sz w:val="24"/>
                <w:szCs w:val="24"/>
              </w:rPr>
            </w:pPr>
            <w:r w:rsidRPr="00213735">
              <w:rPr>
                <w:rFonts w:ascii="Times New Roman" w:eastAsia="Times New Roman" w:hAnsi="Times New Roman"/>
                <w:sz w:val="24"/>
                <w:szCs w:val="24"/>
              </w:rPr>
              <w:t xml:space="preserve">W przypadku remisu kryteriami decydującymi będą: gotowość do realizacji operacji, </w:t>
            </w:r>
            <w:r>
              <w:rPr>
                <w:rFonts w:ascii="Times New Roman" w:eastAsia="Times New Roman" w:hAnsi="Times New Roman"/>
                <w:sz w:val="24"/>
                <w:szCs w:val="24"/>
              </w:rPr>
              <w:t>doświadczenie</w:t>
            </w:r>
            <w:r w:rsidRPr="00213735">
              <w:rPr>
                <w:rFonts w:ascii="Times New Roman" w:eastAsia="Times New Roman" w:hAnsi="Times New Roman"/>
                <w:sz w:val="24"/>
                <w:szCs w:val="24"/>
              </w:rPr>
              <w:t xml:space="preserve"> Wnioskodawcy, realizacja operacji przyczyni się do zwiększenia aktywności społecznej. W przypadku dalszego remisu decydować będzie data i godzina złożenia wniosku w biurze LGD.</w:t>
            </w:r>
          </w:p>
        </w:tc>
      </w:tr>
    </w:tbl>
    <w:p w:rsidR="00624049" w:rsidRDefault="00624049" w:rsidP="00624049">
      <w:pPr>
        <w:jc w:val="both"/>
      </w:pPr>
    </w:p>
    <w:p w:rsidR="00624049" w:rsidRPr="00624049" w:rsidRDefault="00624049" w:rsidP="00624049">
      <w:pPr>
        <w:spacing w:after="0"/>
        <w:jc w:val="both"/>
        <w:rPr>
          <w:b/>
          <w:sz w:val="24"/>
          <w:szCs w:val="24"/>
          <w:u w:val="single"/>
        </w:rPr>
      </w:pPr>
      <w:r w:rsidRPr="00624049">
        <w:rPr>
          <w:rFonts w:ascii="Times New Roman" w:hAnsi="Times New Roman"/>
          <w:b/>
          <w:color w:val="000000"/>
          <w:sz w:val="24"/>
          <w:szCs w:val="24"/>
          <w:u w:val="single"/>
        </w:rPr>
        <w:lastRenderedPageBreak/>
        <w:t>Miejsce operacji na liście rankingowej określa średnia arytmetyczna (do dwóch miejsc po przecinku) wszystkich indywidualnych ocen.</w:t>
      </w:r>
    </w:p>
    <w:sectPr w:rsidR="00624049" w:rsidRPr="00624049" w:rsidSect="0051441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233" w:rsidRDefault="00480233" w:rsidP="00624049">
      <w:pPr>
        <w:spacing w:after="0" w:line="240" w:lineRule="auto"/>
      </w:pPr>
      <w:r>
        <w:separator/>
      </w:r>
    </w:p>
  </w:endnote>
  <w:endnote w:type="continuationSeparator" w:id="0">
    <w:p w:rsidR="00480233" w:rsidRDefault="00480233" w:rsidP="0062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49" w:rsidRDefault="00624049">
    <w:pPr>
      <w:pStyle w:val="Stopka"/>
    </w:pPr>
  </w:p>
  <w:p w:rsidR="00624049" w:rsidRPr="00ED2562" w:rsidRDefault="00624049" w:rsidP="00624049">
    <w:pPr>
      <w:spacing w:after="0" w:line="240" w:lineRule="auto"/>
      <w:jc w:val="center"/>
      <w:rPr>
        <w:rFonts w:ascii="Times New Roman" w:eastAsia="Times New Roman" w:hAnsi="Times New Roman"/>
        <w:sz w:val="18"/>
        <w:szCs w:val="18"/>
        <w:lang w:eastAsia="pl-PL"/>
      </w:rPr>
    </w:pPr>
    <w:r w:rsidRPr="00ED2562">
      <w:rPr>
        <w:rFonts w:ascii="Times New Roman" w:eastAsia="Times New Roman" w:hAnsi="Times New Roman"/>
        <w:sz w:val="18"/>
        <w:szCs w:val="18"/>
        <w:lang w:eastAsia="pl-PL"/>
      </w:rPr>
      <w:t>Europejski Fundusz Rolny na rzecz Rozwoju Obszarów Wiejskich.</w:t>
    </w:r>
  </w:p>
  <w:p w:rsidR="00624049" w:rsidRDefault="00624049" w:rsidP="00624049">
    <w:pPr>
      <w:tabs>
        <w:tab w:val="center" w:pos="4536"/>
        <w:tab w:val="right" w:pos="9072"/>
      </w:tabs>
      <w:spacing w:after="0" w:line="240" w:lineRule="auto"/>
      <w:jc w:val="center"/>
    </w:pPr>
    <w:r w:rsidRPr="00ED2562">
      <w:rPr>
        <w:rFonts w:ascii="Times New Roman" w:eastAsia="Times New Roman" w:hAnsi="Times New Roman"/>
        <w:sz w:val="18"/>
        <w:szCs w:val="18"/>
        <w:lang w:eastAsia="pl-PL"/>
      </w:rPr>
      <w:t>Europa inwestująca w obszary wiejskie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233" w:rsidRDefault="00480233" w:rsidP="00624049">
      <w:pPr>
        <w:spacing w:after="0" w:line="240" w:lineRule="auto"/>
      </w:pPr>
      <w:r>
        <w:separator/>
      </w:r>
    </w:p>
  </w:footnote>
  <w:footnote w:type="continuationSeparator" w:id="0">
    <w:p w:rsidR="00480233" w:rsidRDefault="00480233" w:rsidP="00624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49" w:rsidRDefault="00624049">
    <w:pPr>
      <w:pStyle w:val="Nagwek"/>
    </w:pPr>
  </w:p>
  <w:p w:rsidR="00624049" w:rsidRPr="00ED2562" w:rsidRDefault="00624049" w:rsidP="00624049">
    <w:pPr>
      <w:pStyle w:val="Nagwek"/>
      <w:rPr>
        <w:rFonts w:ascii="Times New Roman" w:eastAsia="Times New Roman" w:hAnsi="Times New Roman"/>
        <w:sz w:val="24"/>
        <w:szCs w:val="24"/>
        <w:lang w:eastAsia="pl-PL"/>
      </w:rPr>
    </w:pPr>
    <w:r>
      <w:rPr>
        <w:rFonts w:ascii="Times New Roman" w:eastAsia="Times New Roman" w:hAnsi="Times New Roman"/>
        <w:noProof/>
        <w:sz w:val="24"/>
        <w:lang w:eastAsia="pl-PL"/>
      </w:rPr>
      <w:drawing>
        <wp:inline distT="0" distB="0" distL="0" distR="0">
          <wp:extent cx="828675" cy="542925"/>
          <wp:effectExtent l="19050" t="0" r="9525" b="0"/>
          <wp:docPr id="1" name="Obraz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lag_yellow_low"/>
                  <pic:cNvPicPr>
                    <a:picLocks noChangeAspect="1" noChangeArrowheads="1"/>
                  </pic:cNvPicPr>
                </pic:nvPicPr>
                <pic:blipFill>
                  <a:blip r:embed="rId1"/>
                  <a:srcRect/>
                  <a:stretch>
                    <a:fillRect/>
                  </a:stretch>
                </pic:blipFill>
                <pic:spPr bwMode="auto">
                  <a:xfrm>
                    <a:off x="0" y="0"/>
                    <a:ext cx="828675" cy="542925"/>
                  </a:xfrm>
                  <a:prstGeom prst="rect">
                    <a:avLst/>
                  </a:prstGeom>
                  <a:noFill/>
                  <a:ln w="9525">
                    <a:noFill/>
                    <a:miter lim="800000"/>
                    <a:headEnd/>
                    <a:tailEnd/>
                  </a:ln>
                </pic:spPr>
              </pic:pic>
            </a:graphicData>
          </a:graphic>
        </wp:inline>
      </w:drawing>
    </w:r>
    <w:r w:rsidRPr="00D51ED5">
      <w:rPr>
        <w:rFonts w:ascii="Times New Roman" w:eastAsia="Times New Roman" w:hAnsi="Times New Roman"/>
        <w:sz w:val="24"/>
        <w:lang w:eastAsia="pl-PL"/>
      </w:rPr>
      <w:t xml:space="preserve">              </w:t>
    </w:r>
    <w:r>
      <w:rPr>
        <w:rFonts w:ascii="Times New Roman" w:eastAsia="Times New Roman" w:hAnsi="Times New Roman"/>
        <w:noProof/>
        <w:sz w:val="24"/>
        <w:lang w:eastAsia="pl-PL"/>
      </w:rPr>
      <w:drawing>
        <wp:inline distT="0" distB="0" distL="0" distR="0">
          <wp:extent cx="638175" cy="514350"/>
          <wp:effectExtent l="19050" t="0" r="9525" b="0"/>
          <wp:docPr id="2" name="Obraz 3" descr="BD_Logo_Bory_Dolnoslaskie_O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BD_Logo_Bory_Dolnoslaskie_OK_m"/>
                  <pic:cNvPicPr>
                    <a:picLocks noChangeAspect="1" noChangeArrowheads="1"/>
                  </pic:cNvPicPr>
                </pic:nvPicPr>
                <pic:blipFill>
                  <a:blip r:embed="rId2"/>
                  <a:srcRect/>
                  <a:stretch>
                    <a:fillRect/>
                  </a:stretch>
                </pic:blipFill>
                <pic:spPr bwMode="auto">
                  <a:xfrm>
                    <a:off x="0" y="0"/>
                    <a:ext cx="638175" cy="514350"/>
                  </a:xfrm>
                  <a:prstGeom prst="rect">
                    <a:avLst/>
                  </a:prstGeom>
                  <a:noFill/>
                  <a:ln w="9525">
                    <a:noFill/>
                    <a:miter lim="800000"/>
                    <a:headEnd/>
                    <a:tailEnd/>
                  </a:ln>
                </pic:spPr>
              </pic:pic>
            </a:graphicData>
          </a:graphic>
        </wp:inline>
      </w:drawing>
    </w:r>
    <w:r w:rsidRPr="00D51ED5">
      <w:rPr>
        <w:rFonts w:ascii="Times New Roman" w:eastAsia="Times New Roman" w:hAnsi="Times New Roman"/>
        <w:sz w:val="24"/>
        <w:lang w:eastAsia="pl-PL"/>
      </w:rPr>
      <w:t xml:space="preserve">                        </w:t>
    </w:r>
    <w:r>
      <w:rPr>
        <w:rFonts w:ascii="Times New Roman" w:eastAsia="Times New Roman" w:hAnsi="Times New Roman"/>
        <w:noProof/>
        <w:sz w:val="24"/>
        <w:szCs w:val="24"/>
        <w:lang w:eastAsia="pl-PL"/>
      </w:rPr>
      <w:drawing>
        <wp:inline distT="0" distB="0" distL="0" distR="0">
          <wp:extent cx="590550" cy="571500"/>
          <wp:effectExtent l="19050" t="0" r="0" b="0"/>
          <wp:docPr id="3" name="Obraz 2"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eader 07-13"/>
                  <pic:cNvPicPr>
                    <a:picLocks noChangeAspect="1" noChangeArrowheads="1"/>
                  </pic:cNvPicPr>
                </pic:nvPicPr>
                <pic:blipFill>
                  <a:blip r:embed="rId3"/>
                  <a:srcRect/>
                  <a:stretch>
                    <a:fillRect/>
                  </a:stretch>
                </pic:blipFill>
                <pic:spPr bwMode="auto">
                  <a:xfrm>
                    <a:off x="0" y="0"/>
                    <a:ext cx="590550" cy="571500"/>
                  </a:xfrm>
                  <a:prstGeom prst="rect">
                    <a:avLst/>
                  </a:prstGeom>
                  <a:noFill/>
                  <a:ln w="9525">
                    <a:noFill/>
                    <a:miter lim="800000"/>
                    <a:headEnd/>
                    <a:tailEnd/>
                  </a:ln>
                </pic:spPr>
              </pic:pic>
            </a:graphicData>
          </a:graphic>
        </wp:inline>
      </w:drawing>
    </w:r>
    <w:r>
      <w:rPr>
        <w:rFonts w:ascii="Times New Roman" w:eastAsia="Times New Roman" w:hAnsi="Times New Roman"/>
        <w:sz w:val="24"/>
        <w:lang w:eastAsia="pl-PL"/>
      </w:rPr>
      <w:t xml:space="preserve">                      </w:t>
    </w:r>
    <w:r w:rsidRPr="00D51ED5">
      <w:rPr>
        <w:rFonts w:ascii="Times New Roman" w:eastAsia="Times New Roman" w:hAnsi="Times New Roman"/>
        <w:sz w:val="24"/>
        <w:lang w:eastAsia="pl-PL"/>
      </w:rPr>
      <w:t xml:space="preserve">        </w:t>
    </w:r>
    <w:r>
      <w:rPr>
        <w:noProof/>
        <w:lang w:eastAsia="pl-PL"/>
      </w:rPr>
      <w:drawing>
        <wp:inline distT="0" distB="0" distL="0" distR="0">
          <wp:extent cx="981075" cy="638175"/>
          <wp:effectExtent l="19050" t="0" r="9525" b="0"/>
          <wp:docPr id="4" name="Obraz 1"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jpg"/>
                  <pic:cNvPicPr>
                    <a:picLocks noChangeAspect="1" noChangeArrowheads="1"/>
                  </pic:cNvPicPr>
                </pic:nvPicPr>
                <pic:blipFill>
                  <a:blip r:embed="rId4"/>
                  <a:srcRect/>
                  <a:stretch>
                    <a:fillRect/>
                  </a:stretch>
                </pic:blipFill>
                <pic:spPr bwMode="auto">
                  <a:xfrm>
                    <a:off x="0" y="0"/>
                    <a:ext cx="981075" cy="638175"/>
                  </a:xfrm>
                  <a:prstGeom prst="rect">
                    <a:avLst/>
                  </a:prstGeom>
                  <a:noFill/>
                  <a:ln w="9525">
                    <a:noFill/>
                    <a:miter lim="800000"/>
                    <a:headEnd/>
                    <a:tailEnd/>
                  </a:ln>
                </pic:spPr>
              </pic:pic>
            </a:graphicData>
          </a:graphic>
        </wp:inline>
      </w:drawing>
    </w:r>
  </w:p>
  <w:p w:rsidR="00624049" w:rsidRDefault="006240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64E6"/>
    <w:multiLevelType w:val="hybridMultilevel"/>
    <w:tmpl w:val="1B525B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0D7648"/>
    <w:multiLevelType w:val="hybridMultilevel"/>
    <w:tmpl w:val="02BE9A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C4128D"/>
    <w:multiLevelType w:val="hybridMultilevel"/>
    <w:tmpl w:val="72164E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F090F76"/>
    <w:multiLevelType w:val="hybridMultilevel"/>
    <w:tmpl w:val="181654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2F03AFD"/>
    <w:multiLevelType w:val="hybridMultilevel"/>
    <w:tmpl w:val="92AC5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AF7511"/>
    <w:multiLevelType w:val="hybridMultilevel"/>
    <w:tmpl w:val="B8B20D6E"/>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1DF615F6"/>
    <w:multiLevelType w:val="hybridMultilevel"/>
    <w:tmpl w:val="69EAA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95225B"/>
    <w:multiLevelType w:val="hybridMultilevel"/>
    <w:tmpl w:val="A45CF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7F5F46"/>
    <w:multiLevelType w:val="hybridMultilevel"/>
    <w:tmpl w:val="F2C29B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EBC6059"/>
    <w:multiLevelType w:val="hybridMultilevel"/>
    <w:tmpl w:val="DFA429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6B724AD"/>
    <w:multiLevelType w:val="hybridMultilevel"/>
    <w:tmpl w:val="4BB83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621DE7"/>
    <w:multiLevelType w:val="hybridMultilevel"/>
    <w:tmpl w:val="E79E2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A82AC2"/>
    <w:multiLevelType w:val="hybridMultilevel"/>
    <w:tmpl w:val="F17011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E02753C"/>
    <w:multiLevelType w:val="hybridMultilevel"/>
    <w:tmpl w:val="B0FC5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AA27BC"/>
    <w:multiLevelType w:val="hybridMultilevel"/>
    <w:tmpl w:val="11AC3F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5EF2010"/>
    <w:multiLevelType w:val="hybridMultilevel"/>
    <w:tmpl w:val="E332A8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9AD292A"/>
    <w:multiLevelType w:val="hybridMultilevel"/>
    <w:tmpl w:val="3DD447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FF104D2"/>
    <w:multiLevelType w:val="hybridMultilevel"/>
    <w:tmpl w:val="E0D26284"/>
    <w:lvl w:ilvl="0" w:tplc="F9A0F3EC">
      <w:start w:val="1"/>
      <w:numFmt w:val="decimal"/>
      <w:lvlText w:val="%1."/>
      <w:lvlJc w:val="left"/>
      <w:pPr>
        <w:ind w:left="1440" w:hanging="360"/>
      </w:pPr>
      <w:rPr>
        <w:rFonts w:ascii="Times New Roman" w:eastAsia="Calibr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5"/>
  </w:num>
  <w:num w:numId="2">
    <w:abstractNumId w:val="17"/>
  </w:num>
  <w:num w:numId="3">
    <w:abstractNumId w:val="10"/>
  </w:num>
  <w:num w:numId="4">
    <w:abstractNumId w:val="7"/>
  </w:num>
  <w:num w:numId="5">
    <w:abstractNumId w:val="4"/>
  </w:num>
  <w:num w:numId="6">
    <w:abstractNumId w:val="11"/>
  </w:num>
  <w:num w:numId="7">
    <w:abstractNumId w:val="6"/>
  </w:num>
  <w:num w:numId="8">
    <w:abstractNumId w:val="13"/>
  </w:num>
  <w:num w:numId="9">
    <w:abstractNumId w:val="5"/>
  </w:num>
  <w:num w:numId="10">
    <w:abstractNumId w:val="9"/>
  </w:num>
  <w:num w:numId="11">
    <w:abstractNumId w:val="0"/>
  </w:num>
  <w:num w:numId="12">
    <w:abstractNumId w:val="12"/>
  </w:num>
  <w:num w:numId="13">
    <w:abstractNumId w:val="8"/>
  </w:num>
  <w:num w:numId="14">
    <w:abstractNumId w:val="2"/>
  </w:num>
  <w:num w:numId="15">
    <w:abstractNumId w:val="1"/>
  </w:num>
  <w:num w:numId="16">
    <w:abstractNumId w:val="1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4049"/>
    <w:rsid w:val="00213735"/>
    <w:rsid w:val="00244D7A"/>
    <w:rsid w:val="002E277A"/>
    <w:rsid w:val="002E43CF"/>
    <w:rsid w:val="002F3F7D"/>
    <w:rsid w:val="00301B2B"/>
    <w:rsid w:val="00480233"/>
    <w:rsid w:val="004B09F6"/>
    <w:rsid w:val="00514417"/>
    <w:rsid w:val="005F09EF"/>
    <w:rsid w:val="006217CE"/>
    <w:rsid w:val="00624049"/>
    <w:rsid w:val="00625C0B"/>
    <w:rsid w:val="00666D29"/>
    <w:rsid w:val="00871F22"/>
    <w:rsid w:val="00881B6C"/>
    <w:rsid w:val="00937B54"/>
    <w:rsid w:val="00A17E8B"/>
    <w:rsid w:val="00A62DE2"/>
    <w:rsid w:val="00AD6E2B"/>
    <w:rsid w:val="00B13CD5"/>
    <w:rsid w:val="00BF382C"/>
    <w:rsid w:val="00D95932"/>
    <w:rsid w:val="00E80D6B"/>
    <w:rsid w:val="00EA0294"/>
    <w:rsid w:val="00EF6089"/>
    <w:rsid w:val="00F822B1"/>
    <w:rsid w:val="00FA7223"/>
    <w:rsid w:val="00FC6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65FED-04E9-42B4-810A-900837C2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404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4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4049"/>
  </w:style>
  <w:style w:type="paragraph" w:styleId="Stopka">
    <w:name w:val="footer"/>
    <w:basedOn w:val="Normalny"/>
    <w:link w:val="StopkaZnak"/>
    <w:uiPriority w:val="99"/>
    <w:unhideWhenUsed/>
    <w:rsid w:val="00624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4049"/>
  </w:style>
  <w:style w:type="paragraph" w:styleId="Tekstdymka">
    <w:name w:val="Balloon Text"/>
    <w:basedOn w:val="Normalny"/>
    <w:link w:val="TekstdymkaZnak"/>
    <w:uiPriority w:val="99"/>
    <w:semiHidden/>
    <w:unhideWhenUsed/>
    <w:rsid w:val="006240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4049"/>
    <w:rPr>
      <w:rFonts w:ascii="Tahoma" w:hAnsi="Tahoma" w:cs="Tahoma"/>
      <w:sz w:val="16"/>
      <w:szCs w:val="16"/>
    </w:rPr>
  </w:style>
  <w:style w:type="paragraph" w:styleId="Akapitzlist">
    <w:name w:val="List Paragraph"/>
    <w:basedOn w:val="Normalny"/>
    <w:uiPriority w:val="34"/>
    <w:qFormat/>
    <w:rsid w:val="00624049"/>
    <w:pPr>
      <w:ind w:left="720"/>
      <w:contextualSpacing/>
    </w:pPr>
  </w:style>
  <w:style w:type="table" w:styleId="Tabela-Siatka">
    <w:name w:val="Table Grid"/>
    <w:basedOn w:val="Standardowy"/>
    <w:uiPriority w:val="39"/>
    <w:rsid w:val="002137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FA5F0F12684240A9FCD56B1DA3E3E7" ma:contentTypeVersion="2" ma:contentTypeDescription="Utwórz nowy dokument." ma:contentTypeScope="" ma:versionID="ce081b094988482e45905a58d074d4c4">
  <xsd:schema xmlns:xsd="http://www.w3.org/2001/XMLSchema" xmlns:xs="http://www.w3.org/2001/XMLSchema" xmlns:p="http://schemas.microsoft.com/office/2006/metadata/properties" xmlns:ns2="8c1c4ff5-f476-4ef1-9580-04c5ab2697e7" targetNamespace="http://schemas.microsoft.com/office/2006/metadata/properties" ma:root="true" ma:fieldsID="038efef02d54b624d95a26dd9299c896" ns2:_="">
    <xsd:import namespace="8c1c4ff5-f476-4ef1-9580-04c5ab2697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4ff5-f476-4ef1-9580-04c5ab269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88514-AFD9-4983-AA7A-462155042E12}"/>
</file>

<file path=customXml/itemProps2.xml><?xml version="1.0" encoding="utf-8"?>
<ds:datastoreItem xmlns:ds="http://schemas.openxmlformats.org/officeDocument/2006/customXml" ds:itemID="{DC6C638E-5395-4B9A-A635-F829CF154185}"/>
</file>

<file path=customXml/itemProps3.xml><?xml version="1.0" encoding="utf-8"?>
<ds:datastoreItem xmlns:ds="http://schemas.openxmlformats.org/officeDocument/2006/customXml" ds:itemID="{67A19CBD-038C-454C-8FB2-E971025BEC81}"/>
</file>

<file path=docProps/app.xml><?xml version="1.0" encoding="utf-8"?>
<Properties xmlns="http://schemas.openxmlformats.org/officeDocument/2006/extended-properties" xmlns:vt="http://schemas.openxmlformats.org/officeDocument/2006/docPropsVTypes">
  <Template>Normal.dotm</Template>
  <TotalTime>12</TotalTime>
  <Pages>4</Pages>
  <Words>816</Words>
  <Characters>4901</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Urszula Antonczyk</cp:lastModifiedBy>
  <cp:revision>14</cp:revision>
  <dcterms:created xsi:type="dcterms:W3CDTF">2016-11-22T11:45:00Z</dcterms:created>
  <dcterms:modified xsi:type="dcterms:W3CDTF">2020-06-22T08:57:00Z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0x01010058FA5F0F12684240A9FCD56B1DA3E3E7</vt:lpwstr>
  </property>
</Properties>
</file>